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54CDB">
      <w:pPr>
        <w:pStyle w:val="7"/>
        <w:jc w:val="center"/>
        <w:outlineLvl w:val="1"/>
      </w:pPr>
      <w:r>
        <w:rPr>
          <w:b/>
          <w:sz w:val="36"/>
        </w:rPr>
        <w:t>采购需求</w:t>
      </w:r>
    </w:p>
    <w:p w14:paraId="73885A1C">
      <w:pPr>
        <w:pStyle w:val="7"/>
        <w:outlineLvl w:val="2"/>
      </w:pPr>
      <w:r>
        <w:rPr>
          <w:b/>
          <w:sz w:val="28"/>
        </w:rPr>
        <w:t>一、项目概况：</w:t>
      </w:r>
    </w:p>
    <w:p w14:paraId="72F8F974">
      <w:pPr>
        <w:pStyle w:val="7"/>
        <w:ind w:firstLine="420"/>
        <w:rPr>
          <w:rFonts w:hint="eastAsia" w:eastAsiaTheme="minorEastAsia"/>
          <w:lang w:eastAsia="zh-CN"/>
        </w:rPr>
      </w:pPr>
      <w:r>
        <w:rPr>
          <w:sz w:val="21"/>
        </w:rPr>
        <w:t>1、项目名称：</w:t>
      </w:r>
      <w:r>
        <w:rPr>
          <w:rFonts w:hint="eastAsia"/>
          <w:sz w:val="21"/>
          <w:lang w:eastAsia="zh-CN"/>
        </w:rPr>
        <w:t>广州市白云区萧岗村项目二期地块土地及房屋征收动迁服务</w:t>
      </w:r>
    </w:p>
    <w:p w14:paraId="56AEE27E">
      <w:pPr>
        <w:pStyle w:val="7"/>
        <w:ind w:firstLine="420"/>
        <w:rPr>
          <w:rFonts w:hint="eastAsia" w:eastAsiaTheme="minorEastAsia"/>
          <w:highlight w:val="none"/>
          <w:lang w:eastAsia="zh-CN"/>
        </w:rPr>
      </w:pPr>
      <w:r>
        <w:rPr>
          <w:sz w:val="21"/>
          <w:highlight w:val="none"/>
        </w:rPr>
        <w:t>2、采购预算：人民币</w:t>
      </w:r>
      <w:r>
        <w:rPr>
          <w:rFonts w:hint="eastAsia"/>
          <w:sz w:val="21"/>
          <w:highlight w:val="none"/>
          <w:lang w:val="en-US" w:eastAsia="zh-CN"/>
        </w:rPr>
        <w:t>60000000.00</w:t>
      </w:r>
      <w:r>
        <w:rPr>
          <w:sz w:val="21"/>
          <w:highlight w:val="none"/>
        </w:rPr>
        <w:t>元</w:t>
      </w:r>
      <w:r>
        <w:rPr>
          <w:rFonts w:hint="eastAsia"/>
          <w:sz w:val="21"/>
          <w:highlight w:val="none"/>
          <w:lang w:eastAsia="zh-CN"/>
        </w:rPr>
        <w:t>（</w:t>
      </w:r>
      <w:r>
        <w:rPr>
          <w:rFonts w:hint="eastAsia"/>
          <w:sz w:val="21"/>
          <w:highlight w:val="none"/>
          <w:lang w:val="en-US" w:eastAsia="zh-CN"/>
        </w:rPr>
        <w:t>大写：人民币陆仟万元整</w:t>
      </w:r>
      <w:r>
        <w:rPr>
          <w:rFonts w:hint="eastAsia"/>
          <w:sz w:val="21"/>
          <w:highlight w:val="none"/>
          <w:lang w:eastAsia="zh-CN"/>
        </w:rPr>
        <w:t>）</w:t>
      </w:r>
    </w:p>
    <w:p w14:paraId="01D61DCD">
      <w:pPr>
        <w:pStyle w:val="7"/>
        <w:ind w:firstLine="708"/>
        <w:rPr>
          <w:highlight w:val="none"/>
        </w:rPr>
      </w:pPr>
      <w:r>
        <w:rPr>
          <w:sz w:val="21"/>
          <w:highlight w:val="none"/>
        </w:rPr>
        <w:t>最高限价：人民币</w:t>
      </w:r>
      <w:r>
        <w:rPr>
          <w:rFonts w:hint="eastAsia"/>
          <w:sz w:val="21"/>
          <w:highlight w:val="none"/>
          <w:lang w:val="en-US" w:eastAsia="zh-CN"/>
        </w:rPr>
        <w:t>60000000.00</w:t>
      </w:r>
      <w:r>
        <w:rPr>
          <w:sz w:val="21"/>
          <w:highlight w:val="none"/>
        </w:rPr>
        <w:t>元</w:t>
      </w:r>
      <w:r>
        <w:rPr>
          <w:rFonts w:hint="eastAsia"/>
          <w:sz w:val="21"/>
          <w:highlight w:val="none"/>
          <w:lang w:eastAsia="zh-CN"/>
        </w:rPr>
        <w:t>（</w:t>
      </w:r>
      <w:r>
        <w:rPr>
          <w:rFonts w:hint="eastAsia"/>
          <w:sz w:val="21"/>
          <w:highlight w:val="none"/>
          <w:lang w:val="en-US" w:eastAsia="zh-CN"/>
        </w:rPr>
        <w:t>大写：人民币陆仟万元整</w:t>
      </w:r>
      <w:r>
        <w:rPr>
          <w:rFonts w:hint="eastAsia"/>
          <w:sz w:val="21"/>
          <w:highlight w:val="none"/>
          <w:lang w:eastAsia="zh-CN"/>
        </w:rPr>
        <w:t>）</w:t>
      </w:r>
    </w:p>
    <w:p w14:paraId="6FCFBEC9">
      <w:pPr>
        <w:pStyle w:val="7"/>
        <w:ind w:firstLine="420"/>
      </w:pPr>
      <w:r>
        <w:rPr>
          <w:sz w:val="21"/>
        </w:rPr>
        <w:t>3、服务期限：自合同签订之日起至本项目土地及房屋征收动迁服务工作完成止。</w:t>
      </w:r>
    </w:p>
    <w:p w14:paraId="5F6458FB">
      <w:pPr>
        <w:pStyle w:val="7"/>
        <w:ind w:firstLine="420"/>
      </w:pPr>
      <w:r>
        <w:rPr>
          <w:sz w:val="21"/>
        </w:rPr>
        <w:t>4、服务地点：广州市白云区，具体以采购人通知为准。</w:t>
      </w:r>
    </w:p>
    <w:p w14:paraId="2363D863">
      <w:pPr>
        <w:pStyle w:val="7"/>
        <w:ind w:firstLine="420"/>
      </w:pPr>
      <w:r>
        <w:rPr>
          <w:sz w:val="21"/>
        </w:rPr>
        <w:t>5、项目属性：本项目为服务类采购项目。</w:t>
      </w:r>
    </w:p>
    <w:p w14:paraId="2125D78D">
      <w:pPr>
        <w:pStyle w:val="7"/>
        <w:ind w:firstLine="420"/>
      </w:pPr>
      <w:r>
        <w:rPr>
          <w:sz w:val="21"/>
        </w:rPr>
        <w:t>6、根据《关于印发中小企业划型标准规定的通知》（工信部联企业〔2011〕300号）规定，本项目采购标的对应的中小企业划分标准所属行业为：</w:t>
      </w:r>
      <w:r>
        <w:rPr>
          <w:b/>
          <w:sz w:val="21"/>
          <w:u w:val="single"/>
        </w:rPr>
        <w:t>其他未</w:t>
      </w:r>
      <w:bookmarkStart w:id="0" w:name="_GoBack"/>
      <w:bookmarkEnd w:id="0"/>
      <w:r>
        <w:rPr>
          <w:b/>
          <w:sz w:val="21"/>
          <w:u w:val="single"/>
        </w:rPr>
        <w:t>列明行业</w:t>
      </w:r>
      <w:r>
        <w:rPr>
          <w:sz w:val="21"/>
        </w:rPr>
        <w:t>。划分标准详见《关于印发中小企业划型标准规定的通知》（http://www.ccgp.gov.cn/zcfg/mof/201310/t20131029_3587674.htm）</w:t>
      </w:r>
    </w:p>
    <w:p w14:paraId="561272B3">
      <w:pPr>
        <w:pStyle w:val="7"/>
        <w:ind w:firstLine="420"/>
      </w:pPr>
      <w:r>
        <w:rPr>
          <w:sz w:val="21"/>
        </w:rPr>
        <w:t>7、本项目（采购包）不属于专门面向中小微企业预留采购份额的项目（采购包）。原因：预留采购份额无法确保充分供应、充分竞争，或者存在可能影响政府采购目标实现的情形。</w:t>
      </w:r>
    </w:p>
    <w:p w14:paraId="48D37685">
      <w:pPr>
        <w:pStyle w:val="7"/>
        <w:ind w:firstLine="420"/>
      </w:pPr>
      <w:r>
        <w:rPr>
          <w:sz w:val="21"/>
        </w:rPr>
        <w:t>8、需要落实的政府采购政策：《政府采购促进中小企业发展管理办法》（财库〔2020〕46号）、《关于政府采购支持监狱企业发展有关问题的通知》（财库〔2014〕68号）、《关于促进残疾人就业政府采购政策的通知》（财库〔2017〕141号）等。</w:t>
      </w:r>
    </w:p>
    <w:p w14:paraId="2E673CE8">
      <w:pPr>
        <w:pStyle w:val="7"/>
        <w:ind w:firstLine="420"/>
      </w:pPr>
      <w:r>
        <w:rPr>
          <w:sz w:val="21"/>
        </w:rPr>
        <w:t>9、凡标记“★”号的条款（如有）为必须实质性响应的要求，投标人任何负偏离（不满足要求）或不响应均导致其投标（响应）无效。凡标记“▲”号的条款（如有）为重要的要求，投标人任何负偏离（不满足要求）或不响应不导致其投标（响应）无效，但可能对其评审产生重大的影响，具体见项目评审标准。</w:t>
      </w:r>
    </w:p>
    <w:p w14:paraId="38D1DBEE">
      <w:pPr>
        <w:pStyle w:val="7"/>
        <w:ind w:firstLine="420"/>
      </w:pPr>
      <w:r>
        <w:rPr>
          <w:sz w:val="21"/>
        </w:rPr>
        <w:t>10、投标人必须对本项目的所有内容进行投标，不允许只对其中部分内容进行投标。</w:t>
      </w:r>
    </w:p>
    <w:p w14:paraId="633A4393">
      <w:pPr>
        <w:pStyle w:val="7"/>
        <w:ind w:firstLine="422"/>
      </w:pPr>
      <w:r>
        <w:rPr>
          <w:b/>
          <w:sz w:val="21"/>
        </w:rPr>
        <w:t>★1</w:t>
      </w:r>
      <w:r>
        <w:rPr>
          <w:rFonts w:hint="eastAsia"/>
          <w:b/>
          <w:sz w:val="21"/>
          <w:lang w:val="en-US" w:eastAsia="zh-CN"/>
        </w:rPr>
        <w:t>1</w:t>
      </w:r>
      <w:r>
        <w:rPr>
          <w:b/>
          <w:sz w:val="21"/>
        </w:rPr>
        <w:t>、《采购需求》主要商务要求中的“标的提供的时间”、“标的提供的地点”、“付款方式”、“验收要求”、“报价要求”均为实质性条款，投标人须对此响应并完全满足或优于这些条款，否则将被视为无效投标。</w:t>
      </w:r>
    </w:p>
    <w:p w14:paraId="5AC494F6">
      <w:pPr>
        <w:pStyle w:val="7"/>
        <w:ind w:firstLine="420"/>
        <w:jc w:val="both"/>
      </w:pPr>
      <w:r>
        <w:rPr>
          <w:sz w:val="21"/>
        </w:rPr>
        <w:t>1</w:t>
      </w:r>
      <w:r>
        <w:rPr>
          <w:rFonts w:hint="eastAsia"/>
          <w:sz w:val="21"/>
          <w:lang w:val="en-US" w:eastAsia="zh-CN"/>
        </w:rPr>
        <w:t>2</w:t>
      </w:r>
      <w:r>
        <w:rPr>
          <w:sz w:val="21"/>
        </w:rPr>
        <w:t>、实质性响应一览表</w:t>
      </w:r>
    </w:p>
    <w:p w14:paraId="2F558A7C">
      <w:pPr>
        <w:pStyle w:val="7"/>
        <w:ind w:firstLine="420"/>
        <w:jc w:val="both"/>
      </w:pPr>
      <w:r>
        <w:rPr>
          <w:b/>
        </w:rPr>
        <w:t xml:space="preserve">                     </w:t>
      </w:r>
      <w:r>
        <w:rPr>
          <w:b/>
          <w:sz w:val="21"/>
        </w:rPr>
        <w:t>《实质性响应一览表》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5302"/>
        <w:gridCol w:w="1697"/>
        <w:gridCol w:w="646"/>
      </w:tblGrid>
      <w:tr w14:paraId="30EC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40182218">
            <w:pPr>
              <w:pStyle w:val="7"/>
              <w:jc w:val="center"/>
            </w:pPr>
            <w:r>
              <w:rPr>
                <w:b/>
                <w:sz w:val="21"/>
              </w:rPr>
              <w:t>序号</w:t>
            </w:r>
          </w:p>
        </w:tc>
        <w:tc>
          <w:tcPr>
            <w:tcW w:w="5302" w:type="dxa"/>
            <w:tcBorders>
              <w:tl2br w:val="nil"/>
              <w:tr2bl w:val="nil"/>
            </w:tcBorders>
            <w:tcMar>
              <w:top w:w="0" w:type="dxa"/>
              <w:left w:w="105" w:type="dxa"/>
              <w:bottom w:w="0" w:type="dxa"/>
              <w:right w:w="105" w:type="dxa"/>
            </w:tcMar>
            <w:vAlign w:val="top"/>
          </w:tcPr>
          <w:p w14:paraId="6C30CB65">
            <w:pPr>
              <w:pStyle w:val="7"/>
              <w:jc w:val="center"/>
            </w:pPr>
            <w:r>
              <w:rPr>
                <w:b/>
                <w:sz w:val="21"/>
              </w:rPr>
              <w:t>实质性响应条款</w:t>
            </w:r>
          </w:p>
        </w:tc>
        <w:tc>
          <w:tcPr>
            <w:tcW w:w="1697" w:type="dxa"/>
            <w:tcBorders>
              <w:tl2br w:val="nil"/>
              <w:tr2bl w:val="nil"/>
            </w:tcBorders>
            <w:tcMar>
              <w:top w:w="0" w:type="dxa"/>
              <w:left w:w="105" w:type="dxa"/>
              <w:bottom w:w="0" w:type="dxa"/>
              <w:right w:w="105" w:type="dxa"/>
            </w:tcMar>
            <w:vAlign w:val="top"/>
          </w:tcPr>
          <w:p w14:paraId="42189AC7">
            <w:pPr>
              <w:pStyle w:val="7"/>
              <w:jc w:val="center"/>
            </w:pPr>
            <w:r>
              <w:rPr>
                <w:b/>
                <w:sz w:val="21"/>
              </w:rPr>
              <w:t>投标人响应情况</w:t>
            </w:r>
          </w:p>
        </w:tc>
        <w:tc>
          <w:tcPr>
            <w:tcW w:w="646" w:type="dxa"/>
            <w:tcBorders>
              <w:tl2br w:val="nil"/>
              <w:tr2bl w:val="nil"/>
            </w:tcBorders>
            <w:tcMar>
              <w:top w:w="0" w:type="dxa"/>
              <w:left w:w="105" w:type="dxa"/>
              <w:bottom w:w="0" w:type="dxa"/>
              <w:right w:w="105" w:type="dxa"/>
            </w:tcMar>
            <w:vAlign w:val="top"/>
          </w:tcPr>
          <w:p w14:paraId="751BBD1B">
            <w:pPr>
              <w:pStyle w:val="7"/>
              <w:jc w:val="center"/>
            </w:pPr>
            <w:r>
              <w:rPr>
                <w:b/>
                <w:sz w:val="21"/>
              </w:rPr>
              <w:t>差异</w:t>
            </w:r>
          </w:p>
        </w:tc>
      </w:tr>
      <w:tr w14:paraId="188F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5A87539B">
            <w:pPr>
              <w:pStyle w:val="7"/>
              <w:jc w:val="center"/>
              <w:rPr>
                <w:rFonts w:hint="eastAsia" w:eastAsiaTheme="minorEastAsia"/>
                <w:lang w:eastAsia="zh-CN"/>
              </w:rPr>
            </w:pPr>
            <w:r>
              <w:rPr>
                <w:rFonts w:hint="eastAsia"/>
                <w:sz w:val="21"/>
                <w:lang w:val="en-US" w:eastAsia="zh-CN"/>
              </w:rPr>
              <w:t>1</w:t>
            </w:r>
          </w:p>
        </w:tc>
        <w:tc>
          <w:tcPr>
            <w:tcW w:w="5302" w:type="dxa"/>
            <w:tcBorders>
              <w:tl2br w:val="nil"/>
              <w:tr2bl w:val="nil"/>
            </w:tcBorders>
            <w:tcMar>
              <w:top w:w="0" w:type="dxa"/>
              <w:left w:w="105" w:type="dxa"/>
              <w:bottom w:w="0" w:type="dxa"/>
              <w:right w:w="105" w:type="dxa"/>
            </w:tcMar>
            <w:vAlign w:val="top"/>
          </w:tcPr>
          <w:p w14:paraId="383FF48A">
            <w:pPr>
              <w:pStyle w:val="7"/>
              <w:jc w:val="both"/>
            </w:pPr>
            <w:r>
              <w:rPr>
                <w:sz w:val="21"/>
              </w:rPr>
              <w:t>《采购需求》主要商务要求中的“标的提供的时间”、“标的提供的地点”、“付款方式”、“验收要求”、“报价要求”均为实质性条款，投标人须对此响应并完全满足或优于这些条款，否则将被视为无效投标。</w:t>
            </w:r>
          </w:p>
        </w:tc>
        <w:tc>
          <w:tcPr>
            <w:tcW w:w="1697" w:type="dxa"/>
            <w:tcBorders>
              <w:tl2br w:val="nil"/>
              <w:tr2bl w:val="nil"/>
            </w:tcBorders>
            <w:tcMar>
              <w:top w:w="0" w:type="dxa"/>
              <w:left w:w="105" w:type="dxa"/>
              <w:bottom w:w="0" w:type="dxa"/>
              <w:right w:w="105" w:type="dxa"/>
            </w:tcMar>
            <w:vAlign w:val="top"/>
          </w:tcPr>
          <w:p w14:paraId="6F198A52">
            <w:pPr>
              <w:pStyle w:val="7"/>
              <w:jc w:val="both"/>
            </w:pPr>
          </w:p>
        </w:tc>
        <w:tc>
          <w:tcPr>
            <w:tcW w:w="646" w:type="dxa"/>
            <w:tcBorders>
              <w:tl2br w:val="nil"/>
              <w:tr2bl w:val="nil"/>
            </w:tcBorders>
            <w:tcMar>
              <w:top w:w="0" w:type="dxa"/>
              <w:left w:w="105" w:type="dxa"/>
              <w:bottom w:w="0" w:type="dxa"/>
              <w:right w:w="105" w:type="dxa"/>
            </w:tcMar>
            <w:vAlign w:val="top"/>
          </w:tcPr>
          <w:p w14:paraId="5F7EF711"/>
        </w:tc>
      </w:tr>
      <w:tr w14:paraId="786F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2EA6007A">
            <w:pPr>
              <w:pStyle w:val="7"/>
              <w:jc w:val="center"/>
              <w:rPr>
                <w:rFonts w:hint="eastAsia" w:eastAsiaTheme="minorEastAsia"/>
                <w:lang w:eastAsia="zh-CN"/>
              </w:rPr>
            </w:pPr>
            <w:r>
              <w:rPr>
                <w:rFonts w:hint="eastAsia"/>
                <w:sz w:val="21"/>
                <w:lang w:val="en-US" w:eastAsia="zh-CN"/>
              </w:rPr>
              <w:t>2</w:t>
            </w:r>
          </w:p>
        </w:tc>
        <w:tc>
          <w:tcPr>
            <w:tcW w:w="5302" w:type="dxa"/>
            <w:tcBorders>
              <w:tl2br w:val="nil"/>
              <w:tr2bl w:val="nil"/>
            </w:tcBorders>
            <w:tcMar>
              <w:top w:w="0" w:type="dxa"/>
              <w:left w:w="105" w:type="dxa"/>
              <w:bottom w:w="0" w:type="dxa"/>
              <w:right w:w="105" w:type="dxa"/>
            </w:tcMar>
            <w:vAlign w:val="top"/>
          </w:tcPr>
          <w:p w14:paraId="7D6FE4EB">
            <w:pPr>
              <w:pStyle w:val="7"/>
              <w:jc w:val="both"/>
            </w:pPr>
            <w:r>
              <w:rPr>
                <w:sz w:val="21"/>
              </w:rPr>
              <w:t>标的提供的时间：自合同签订之日起至本项目土地及房屋征收动迁服务工作完成止。</w:t>
            </w:r>
          </w:p>
        </w:tc>
        <w:tc>
          <w:tcPr>
            <w:tcW w:w="1697" w:type="dxa"/>
            <w:tcBorders>
              <w:tl2br w:val="nil"/>
              <w:tr2bl w:val="nil"/>
            </w:tcBorders>
            <w:tcMar>
              <w:top w:w="0" w:type="dxa"/>
              <w:left w:w="105" w:type="dxa"/>
              <w:bottom w:w="0" w:type="dxa"/>
              <w:right w:w="105" w:type="dxa"/>
            </w:tcMar>
            <w:vAlign w:val="top"/>
          </w:tcPr>
          <w:p w14:paraId="70F960FB">
            <w:pPr>
              <w:pStyle w:val="7"/>
              <w:jc w:val="both"/>
            </w:pPr>
          </w:p>
        </w:tc>
        <w:tc>
          <w:tcPr>
            <w:tcW w:w="646" w:type="dxa"/>
            <w:tcBorders>
              <w:tl2br w:val="nil"/>
              <w:tr2bl w:val="nil"/>
            </w:tcBorders>
            <w:tcMar>
              <w:top w:w="0" w:type="dxa"/>
              <w:left w:w="105" w:type="dxa"/>
              <w:bottom w:w="0" w:type="dxa"/>
              <w:right w:w="105" w:type="dxa"/>
            </w:tcMar>
            <w:vAlign w:val="top"/>
          </w:tcPr>
          <w:p w14:paraId="4475124A"/>
        </w:tc>
      </w:tr>
      <w:tr w14:paraId="5B99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17C241BD">
            <w:pPr>
              <w:pStyle w:val="7"/>
              <w:jc w:val="center"/>
              <w:rPr>
                <w:rFonts w:hint="eastAsia" w:eastAsiaTheme="minorEastAsia"/>
                <w:lang w:eastAsia="zh-CN"/>
              </w:rPr>
            </w:pPr>
            <w:r>
              <w:rPr>
                <w:rFonts w:hint="eastAsia"/>
                <w:sz w:val="21"/>
                <w:lang w:val="en-US" w:eastAsia="zh-CN"/>
              </w:rPr>
              <w:t>3</w:t>
            </w:r>
          </w:p>
        </w:tc>
        <w:tc>
          <w:tcPr>
            <w:tcW w:w="5302" w:type="dxa"/>
            <w:tcBorders>
              <w:tl2br w:val="nil"/>
              <w:tr2bl w:val="nil"/>
            </w:tcBorders>
            <w:tcMar>
              <w:top w:w="0" w:type="dxa"/>
              <w:left w:w="105" w:type="dxa"/>
              <w:bottom w:w="0" w:type="dxa"/>
              <w:right w:w="105" w:type="dxa"/>
            </w:tcMar>
            <w:vAlign w:val="top"/>
          </w:tcPr>
          <w:p w14:paraId="768BD4C0">
            <w:pPr>
              <w:pStyle w:val="7"/>
              <w:jc w:val="both"/>
            </w:pPr>
            <w:r>
              <w:rPr>
                <w:sz w:val="21"/>
              </w:rPr>
              <w:t>标的提供的地点：广州市白云区，具体以采购人通知为准。</w:t>
            </w:r>
          </w:p>
        </w:tc>
        <w:tc>
          <w:tcPr>
            <w:tcW w:w="1697" w:type="dxa"/>
            <w:tcBorders>
              <w:tl2br w:val="nil"/>
              <w:tr2bl w:val="nil"/>
            </w:tcBorders>
            <w:tcMar>
              <w:top w:w="0" w:type="dxa"/>
              <w:left w:w="105" w:type="dxa"/>
              <w:bottom w:w="0" w:type="dxa"/>
              <w:right w:w="105" w:type="dxa"/>
            </w:tcMar>
            <w:vAlign w:val="top"/>
          </w:tcPr>
          <w:p w14:paraId="5863AE80">
            <w:pPr>
              <w:pStyle w:val="7"/>
              <w:jc w:val="both"/>
            </w:pPr>
          </w:p>
        </w:tc>
        <w:tc>
          <w:tcPr>
            <w:tcW w:w="646" w:type="dxa"/>
            <w:tcBorders>
              <w:tl2br w:val="nil"/>
              <w:tr2bl w:val="nil"/>
            </w:tcBorders>
            <w:tcMar>
              <w:top w:w="0" w:type="dxa"/>
              <w:left w:w="105" w:type="dxa"/>
              <w:bottom w:w="0" w:type="dxa"/>
              <w:right w:w="105" w:type="dxa"/>
            </w:tcMar>
            <w:vAlign w:val="top"/>
          </w:tcPr>
          <w:p w14:paraId="36D629F4"/>
        </w:tc>
      </w:tr>
      <w:tr w14:paraId="4CA2B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44338FA5">
            <w:pPr>
              <w:pStyle w:val="7"/>
              <w:jc w:val="center"/>
              <w:rPr>
                <w:rFonts w:hint="eastAsia" w:eastAsiaTheme="minorEastAsia"/>
                <w:lang w:eastAsia="zh-CN"/>
              </w:rPr>
            </w:pPr>
            <w:r>
              <w:rPr>
                <w:rFonts w:hint="eastAsia"/>
                <w:sz w:val="21"/>
                <w:lang w:val="en-US" w:eastAsia="zh-CN"/>
              </w:rPr>
              <w:t>4</w:t>
            </w:r>
          </w:p>
        </w:tc>
        <w:tc>
          <w:tcPr>
            <w:tcW w:w="5302" w:type="dxa"/>
            <w:tcBorders>
              <w:tl2br w:val="nil"/>
              <w:tr2bl w:val="nil"/>
            </w:tcBorders>
            <w:tcMar>
              <w:top w:w="0" w:type="dxa"/>
              <w:left w:w="105" w:type="dxa"/>
              <w:bottom w:w="0" w:type="dxa"/>
              <w:right w:w="105" w:type="dxa"/>
            </w:tcMar>
            <w:vAlign w:val="top"/>
          </w:tcPr>
          <w:p w14:paraId="517A2B5A">
            <w:pPr>
              <w:pStyle w:val="7"/>
              <w:jc w:val="both"/>
            </w:pPr>
            <w:r>
              <w:rPr>
                <w:sz w:val="21"/>
              </w:rPr>
              <w:t>付款方式：</w:t>
            </w:r>
          </w:p>
          <w:p w14:paraId="60A5F631">
            <w:pPr>
              <w:pStyle w:val="7"/>
              <w:jc w:val="both"/>
            </w:pPr>
            <w:r>
              <w:rPr>
                <w:sz w:val="21"/>
              </w:rPr>
              <w:t>1期：支付比例30%，</w:t>
            </w:r>
          </w:p>
          <w:p w14:paraId="60AE20A3">
            <w:pPr>
              <w:pStyle w:val="7"/>
              <w:ind w:firstLine="440"/>
              <w:jc w:val="both"/>
            </w:pPr>
            <w:r>
              <w:rPr>
                <w:sz w:val="21"/>
              </w:rPr>
              <w:t>预付款（合同金额30%）：单项合同生效且项目资金到达采购人专用账户后，项目正式启动前由中标人向采购人提交申请报告、有效的增值税普通发票。</w:t>
            </w:r>
          </w:p>
          <w:p w14:paraId="0189902B">
            <w:pPr>
              <w:pStyle w:val="7"/>
              <w:jc w:val="both"/>
            </w:pPr>
            <w:r>
              <w:rPr>
                <w:sz w:val="21"/>
              </w:rPr>
              <w:t>2期：支付比例60%，</w:t>
            </w:r>
          </w:p>
          <w:p w14:paraId="07228754">
            <w:pPr>
              <w:pStyle w:val="7"/>
              <w:ind w:firstLine="440"/>
              <w:jc w:val="both"/>
            </w:pPr>
            <w:r>
              <w:rPr>
                <w:sz w:val="21"/>
              </w:rPr>
              <w:t>月度项目进度款：当应收款项大于预付款时开始计算进度款；中标人根据每月度实际开展动迁服务的工作量申请当月进度款项，当月进度款项为实际完成工作量（以实际签订征收补偿协议书的量为准）应付服务费总额的90%；进度款累计最高支付不超合同金额的90%；当月支付前根据考核扣除扣款款项后支付。</w:t>
            </w:r>
          </w:p>
          <w:p w14:paraId="2EA280DD">
            <w:pPr>
              <w:pStyle w:val="7"/>
              <w:jc w:val="both"/>
            </w:pPr>
            <w:r>
              <w:rPr>
                <w:sz w:val="21"/>
              </w:rPr>
              <w:t>3期：支付比例5%，</w:t>
            </w:r>
          </w:p>
          <w:p w14:paraId="0813F7C0">
            <w:pPr>
              <w:pStyle w:val="7"/>
              <w:ind w:firstLine="440"/>
              <w:jc w:val="both"/>
            </w:pPr>
            <w:r>
              <w:rPr>
                <w:sz w:val="21"/>
              </w:rPr>
              <w:t>中标人按时完成本项目全部工作并办理完各项资料（包括声像资料、电子档案）移交，经采购人确认后，支付5%；支付前扣减对应考核扣款款项，经采购人审核后一次性支付给中标人；本期款项最高支付不超合同金额的5%。</w:t>
            </w:r>
          </w:p>
          <w:p w14:paraId="133A42F1">
            <w:pPr>
              <w:pStyle w:val="7"/>
              <w:jc w:val="both"/>
            </w:pPr>
            <w:r>
              <w:rPr>
                <w:sz w:val="21"/>
              </w:rPr>
              <w:t>4期：支付比例5%，</w:t>
            </w:r>
          </w:p>
          <w:p w14:paraId="79EB8BD4">
            <w:pPr>
              <w:pStyle w:val="7"/>
              <w:ind w:firstLine="440"/>
              <w:jc w:val="both"/>
            </w:pPr>
            <w:r>
              <w:rPr>
                <w:sz w:val="21"/>
              </w:rPr>
              <w:t>尾款：项目完工后送财政评审中心或第三方评审机构进行评审，评审结果作为最终结算依据，支付剩余款项。</w:t>
            </w:r>
          </w:p>
          <w:p w14:paraId="63D5E355">
            <w:pPr>
              <w:pStyle w:val="7"/>
            </w:pPr>
            <w:r>
              <w:rPr>
                <w:sz w:val="21"/>
              </w:rPr>
              <w:t>备注:</w:t>
            </w:r>
          </w:p>
          <w:p w14:paraId="72005AF5">
            <w:pPr>
              <w:pStyle w:val="7"/>
              <w:ind w:firstLine="440"/>
              <w:jc w:val="both"/>
            </w:pPr>
            <w:r>
              <w:rPr>
                <w:sz w:val="21"/>
              </w:rPr>
              <w:t>1.上述所有考核扣除扣款款项，不再支付给中标人。</w:t>
            </w:r>
          </w:p>
          <w:p w14:paraId="6C28DF90">
            <w:pPr>
              <w:pStyle w:val="7"/>
              <w:ind w:firstLine="440"/>
              <w:jc w:val="both"/>
            </w:pPr>
            <w:r>
              <w:rPr>
                <w:sz w:val="21"/>
              </w:rPr>
              <w:t>2.上述每一期款项支付前，中标人应提交证明符合对应支付节点的请款材料给采购人审核，包括工作量进度证明材料、结算资料、发票等。若联合体（如有）在合同履行过程中关于服务费产生争议的，不得因此影响本合同的履行，否则联合体（如有）应当按合同约定承担违约责任。</w:t>
            </w:r>
          </w:p>
          <w:p w14:paraId="20FE37EB">
            <w:pPr>
              <w:pStyle w:val="7"/>
              <w:ind w:firstLine="440"/>
              <w:jc w:val="both"/>
            </w:pPr>
            <w:r>
              <w:rPr>
                <w:sz w:val="21"/>
              </w:rPr>
              <w:t>3.中标人应向采购人提供符合采购人财务要求的等额有效增值税普通发票。采购人在收到每期款项发票后的五个工作日内，按照财政款项支付流程向中标人支付相应的费用。</w:t>
            </w:r>
          </w:p>
          <w:p w14:paraId="7B58F968">
            <w:pPr>
              <w:pStyle w:val="7"/>
              <w:ind w:firstLine="440"/>
              <w:jc w:val="both"/>
            </w:pPr>
            <w:r>
              <w:rPr>
                <w:sz w:val="21"/>
              </w:rPr>
              <w:t>4.如联合体中标，联合体各方的费用结算由联合体牵头方和联合体的其他成员协商确定。联合体牵头方在采购人下一次费用结算前须将各方的费用结算凭证交予采购人备案保存。</w:t>
            </w:r>
          </w:p>
          <w:p w14:paraId="47D68DD4">
            <w:pPr>
              <w:pStyle w:val="7"/>
              <w:ind w:firstLine="440"/>
              <w:jc w:val="both"/>
            </w:pPr>
            <w:r>
              <w:rPr>
                <w:sz w:val="21"/>
              </w:rPr>
              <w:t>5.如遇政策影响或审批延迟，未能及时付款的，经双方协商后可延迟付款。</w:t>
            </w:r>
          </w:p>
          <w:p w14:paraId="3E9A0A08">
            <w:pPr>
              <w:pStyle w:val="7"/>
              <w:ind w:firstLine="440"/>
            </w:pPr>
            <w:r>
              <w:rPr>
                <w:sz w:val="21"/>
              </w:rPr>
              <w:t>如项目发生合同融资，采购人应当将合同款项支付到合同约定收款账户。</w:t>
            </w:r>
          </w:p>
        </w:tc>
        <w:tc>
          <w:tcPr>
            <w:tcW w:w="1697" w:type="dxa"/>
            <w:tcBorders>
              <w:tl2br w:val="nil"/>
              <w:tr2bl w:val="nil"/>
            </w:tcBorders>
            <w:tcMar>
              <w:top w:w="0" w:type="dxa"/>
              <w:left w:w="105" w:type="dxa"/>
              <w:bottom w:w="0" w:type="dxa"/>
              <w:right w:w="105" w:type="dxa"/>
            </w:tcMar>
            <w:vAlign w:val="top"/>
          </w:tcPr>
          <w:p w14:paraId="4D94025A">
            <w:pPr>
              <w:pStyle w:val="7"/>
              <w:jc w:val="both"/>
            </w:pPr>
          </w:p>
        </w:tc>
        <w:tc>
          <w:tcPr>
            <w:tcW w:w="646" w:type="dxa"/>
            <w:tcBorders>
              <w:tl2br w:val="nil"/>
              <w:tr2bl w:val="nil"/>
            </w:tcBorders>
            <w:tcMar>
              <w:top w:w="0" w:type="dxa"/>
              <w:left w:w="105" w:type="dxa"/>
              <w:bottom w:w="0" w:type="dxa"/>
              <w:right w:w="105" w:type="dxa"/>
            </w:tcMar>
            <w:vAlign w:val="top"/>
          </w:tcPr>
          <w:p w14:paraId="1DCD37CD"/>
        </w:tc>
      </w:tr>
      <w:tr w14:paraId="17C7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7D3D534B">
            <w:pPr>
              <w:pStyle w:val="7"/>
              <w:jc w:val="center"/>
              <w:rPr>
                <w:rFonts w:hint="eastAsia" w:eastAsiaTheme="minorEastAsia"/>
                <w:lang w:eastAsia="zh-CN"/>
              </w:rPr>
            </w:pPr>
            <w:r>
              <w:rPr>
                <w:rFonts w:hint="eastAsia"/>
                <w:sz w:val="21"/>
                <w:lang w:val="en-US" w:eastAsia="zh-CN"/>
              </w:rPr>
              <w:t>5</w:t>
            </w:r>
          </w:p>
        </w:tc>
        <w:tc>
          <w:tcPr>
            <w:tcW w:w="5302" w:type="dxa"/>
            <w:tcBorders>
              <w:tl2br w:val="nil"/>
              <w:tr2bl w:val="nil"/>
            </w:tcBorders>
            <w:tcMar>
              <w:top w:w="0" w:type="dxa"/>
              <w:left w:w="105" w:type="dxa"/>
              <w:bottom w:w="0" w:type="dxa"/>
              <w:right w:w="105" w:type="dxa"/>
            </w:tcMar>
            <w:vAlign w:val="top"/>
          </w:tcPr>
          <w:p w14:paraId="2FECD563">
            <w:pPr>
              <w:pStyle w:val="7"/>
            </w:pPr>
            <w:r>
              <w:rPr>
                <w:sz w:val="21"/>
              </w:rPr>
              <w:t>验收要求:</w:t>
            </w:r>
          </w:p>
          <w:p w14:paraId="31B9813A">
            <w:pPr>
              <w:pStyle w:val="7"/>
            </w:pPr>
            <w:r>
              <w:rPr>
                <w:sz w:val="21"/>
              </w:rPr>
              <w:t>1期：采购人按照本项目的服务要求、考核标准和国家及地区现行的相关规定，对中标人进行履约验收。采购人将通过中标人是否按照采购人要求和本项目需求提供服务和服务情况等内容进行履约验收，并出具验收报告。若验收不合格，采购人有权要求中标人进行整改，若整改之后仍不合格，采购人有权终止合同。</w:t>
            </w:r>
          </w:p>
        </w:tc>
        <w:tc>
          <w:tcPr>
            <w:tcW w:w="1697" w:type="dxa"/>
            <w:tcBorders>
              <w:tl2br w:val="nil"/>
              <w:tr2bl w:val="nil"/>
            </w:tcBorders>
            <w:tcMar>
              <w:top w:w="0" w:type="dxa"/>
              <w:left w:w="105" w:type="dxa"/>
              <w:bottom w:w="0" w:type="dxa"/>
              <w:right w:w="105" w:type="dxa"/>
            </w:tcMar>
            <w:vAlign w:val="top"/>
          </w:tcPr>
          <w:p w14:paraId="744AB02A">
            <w:pPr>
              <w:pStyle w:val="7"/>
              <w:jc w:val="both"/>
            </w:pPr>
          </w:p>
        </w:tc>
        <w:tc>
          <w:tcPr>
            <w:tcW w:w="646" w:type="dxa"/>
            <w:tcBorders>
              <w:tl2br w:val="nil"/>
              <w:tr2bl w:val="nil"/>
            </w:tcBorders>
            <w:tcMar>
              <w:top w:w="0" w:type="dxa"/>
              <w:left w:w="105" w:type="dxa"/>
              <w:bottom w:w="0" w:type="dxa"/>
              <w:right w:w="105" w:type="dxa"/>
            </w:tcMar>
            <w:vAlign w:val="top"/>
          </w:tcPr>
          <w:p w14:paraId="4F424734"/>
        </w:tc>
      </w:tr>
      <w:tr w14:paraId="7DFB2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218AA1D3">
            <w:pPr>
              <w:pStyle w:val="7"/>
              <w:jc w:val="center"/>
              <w:rPr>
                <w:rFonts w:hint="eastAsia" w:eastAsiaTheme="minorEastAsia"/>
                <w:lang w:eastAsia="zh-CN"/>
              </w:rPr>
            </w:pPr>
            <w:r>
              <w:rPr>
                <w:rFonts w:hint="eastAsia"/>
                <w:sz w:val="21"/>
                <w:lang w:val="en-US" w:eastAsia="zh-CN"/>
              </w:rPr>
              <w:t>6</w:t>
            </w:r>
          </w:p>
        </w:tc>
        <w:tc>
          <w:tcPr>
            <w:tcW w:w="5302" w:type="dxa"/>
            <w:tcBorders>
              <w:tl2br w:val="nil"/>
              <w:tr2bl w:val="nil"/>
            </w:tcBorders>
            <w:tcMar>
              <w:top w:w="0" w:type="dxa"/>
              <w:left w:w="105" w:type="dxa"/>
              <w:bottom w:w="0" w:type="dxa"/>
              <w:right w:w="105" w:type="dxa"/>
            </w:tcMar>
            <w:vAlign w:val="top"/>
          </w:tcPr>
          <w:p w14:paraId="318E3D90">
            <w:pPr>
              <w:pStyle w:val="7"/>
              <w:jc w:val="both"/>
            </w:pPr>
            <w:r>
              <w:rPr>
                <w:sz w:val="21"/>
              </w:rPr>
              <w:t>报价要求:</w:t>
            </w:r>
          </w:p>
          <w:p w14:paraId="7FFD7FC2">
            <w:pPr>
              <w:pStyle w:val="7"/>
              <w:jc w:val="both"/>
            </w:pPr>
            <w:r>
              <w:rPr>
                <w:sz w:val="21"/>
              </w:rPr>
              <w:t>1.投标人以优惠率报价，优惠率范围：0≤优惠率＜100%（优惠率保留两位小数，例如XX.XX%，如填写的小数位不足两位，默认小数位为0）且是固定唯一值。</w:t>
            </w:r>
          </w:p>
          <w:p w14:paraId="4DE3C662">
            <w:pPr>
              <w:pStyle w:val="7"/>
              <w:jc w:val="both"/>
            </w:pPr>
            <w:r>
              <w:rPr>
                <w:sz w:val="21"/>
              </w:rPr>
              <w:t>2.投标人的投标报价须包含但不限于动迁人员的工资、补贴、加班费、办公费、交通费、车辆使用费(含路桥费、油电费)、税费，开展征地拆迁服务工作涉及的一切办公设备、资料整理及法律咨询服务费等完成本合同项下的工作的一切直接及间接费用，中标单位不得以任何明目另行要求采购人支付费用。</w:t>
            </w:r>
          </w:p>
        </w:tc>
        <w:tc>
          <w:tcPr>
            <w:tcW w:w="1697" w:type="dxa"/>
            <w:tcBorders>
              <w:tl2br w:val="nil"/>
              <w:tr2bl w:val="nil"/>
            </w:tcBorders>
            <w:tcMar>
              <w:top w:w="0" w:type="dxa"/>
              <w:left w:w="105" w:type="dxa"/>
              <w:bottom w:w="0" w:type="dxa"/>
              <w:right w:w="105" w:type="dxa"/>
            </w:tcMar>
            <w:vAlign w:val="top"/>
          </w:tcPr>
          <w:p w14:paraId="7E3CBEC3">
            <w:pPr>
              <w:pStyle w:val="7"/>
              <w:jc w:val="both"/>
            </w:pPr>
          </w:p>
        </w:tc>
        <w:tc>
          <w:tcPr>
            <w:tcW w:w="646" w:type="dxa"/>
            <w:tcBorders>
              <w:tl2br w:val="nil"/>
              <w:tr2bl w:val="nil"/>
            </w:tcBorders>
            <w:tcMar>
              <w:top w:w="0" w:type="dxa"/>
              <w:left w:w="105" w:type="dxa"/>
              <w:bottom w:w="0" w:type="dxa"/>
              <w:right w:w="105" w:type="dxa"/>
            </w:tcMar>
            <w:vAlign w:val="top"/>
          </w:tcPr>
          <w:p w14:paraId="45C3B5A9"/>
        </w:tc>
      </w:tr>
      <w:tr w14:paraId="12AF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26CFD09C">
            <w:pPr>
              <w:pStyle w:val="7"/>
              <w:jc w:val="center"/>
              <w:rPr>
                <w:rFonts w:hint="eastAsia" w:eastAsiaTheme="minorEastAsia"/>
                <w:lang w:eastAsia="zh-CN"/>
              </w:rPr>
            </w:pPr>
            <w:r>
              <w:rPr>
                <w:rFonts w:hint="eastAsia"/>
                <w:sz w:val="21"/>
                <w:lang w:val="en-US" w:eastAsia="zh-CN"/>
              </w:rPr>
              <w:t>7</w:t>
            </w:r>
          </w:p>
        </w:tc>
        <w:tc>
          <w:tcPr>
            <w:tcW w:w="5302" w:type="dxa"/>
            <w:tcBorders>
              <w:tl2br w:val="nil"/>
              <w:tr2bl w:val="nil"/>
            </w:tcBorders>
            <w:tcMar>
              <w:top w:w="0" w:type="dxa"/>
              <w:left w:w="105" w:type="dxa"/>
              <w:bottom w:w="0" w:type="dxa"/>
              <w:right w:w="105" w:type="dxa"/>
            </w:tcMar>
            <w:vAlign w:val="top"/>
          </w:tcPr>
          <w:p w14:paraId="23E70DB3">
            <w:pPr>
              <w:pStyle w:val="7"/>
              <w:jc w:val="both"/>
            </w:pPr>
            <w:r>
              <w:rPr>
                <w:sz w:val="21"/>
              </w:rPr>
              <w:t>项目部需配备必要办公设备，车辆等，以满足完成本项目相关交通、办公需求。</w:t>
            </w:r>
          </w:p>
        </w:tc>
        <w:tc>
          <w:tcPr>
            <w:tcW w:w="1697" w:type="dxa"/>
            <w:tcBorders>
              <w:tl2br w:val="nil"/>
              <w:tr2bl w:val="nil"/>
            </w:tcBorders>
            <w:tcMar>
              <w:top w:w="0" w:type="dxa"/>
              <w:left w:w="105" w:type="dxa"/>
              <w:bottom w:w="0" w:type="dxa"/>
              <w:right w:w="105" w:type="dxa"/>
            </w:tcMar>
            <w:vAlign w:val="top"/>
          </w:tcPr>
          <w:p w14:paraId="355F4561">
            <w:pPr>
              <w:pStyle w:val="7"/>
              <w:jc w:val="both"/>
            </w:pPr>
          </w:p>
        </w:tc>
        <w:tc>
          <w:tcPr>
            <w:tcW w:w="646" w:type="dxa"/>
            <w:tcBorders>
              <w:tl2br w:val="nil"/>
              <w:tr2bl w:val="nil"/>
            </w:tcBorders>
            <w:tcMar>
              <w:top w:w="0" w:type="dxa"/>
              <w:left w:w="105" w:type="dxa"/>
              <w:bottom w:w="0" w:type="dxa"/>
              <w:right w:w="105" w:type="dxa"/>
            </w:tcMar>
            <w:vAlign w:val="top"/>
          </w:tcPr>
          <w:p w14:paraId="43C73712"/>
        </w:tc>
      </w:tr>
      <w:tr w14:paraId="514F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dxa"/>
            <w:tcBorders>
              <w:tl2br w:val="nil"/>
              <w:tr2bl w:val="nil"/>
            </w:tcBorders>
            <w:tcMar>
              <w:top w:w="0" w:type="dxa"/>
              <w:left w:w="105" w:type="dxa"/>
              <w:bottom w:w="0" w:type="dxa"/>
              <w:right w:w="105" w:type="dxa"/>
            </w:tcMar>
            <w:vAlign w:val="top"/>
          </w:tcPr>
          <w:p w14:paraId="1C79F37D">
            <w:pPr>
              <w:pStyle w:val="7"/>
              <w:jc w:val="center"/>
              <w:rPr>
                <w:rFonts w:hint="eastAsia" w:eastAsiaTheme="minorEastAsia"/>
                <w:lang w:eastAsia="zh-CN"/>
              </w:rPr>
            </w:pPr>
            <w:r>
              <w:rPr>
                <w:rFonts w:hint="eastAsia"/>
                <w:sz w:val="21"/>
                <w:lang w:val="en-US" w:eastAsia="zh-CN"/>
              </w:rPr>
              <w:t>8</w:t>
            </w:r>
          </w:p>
        </w:tc>
        <w:tc>
          <w:tcPr>
            <w:tcW w:w="5302" w:type="dxa"/>
            <w:tcBorders>
              <w:tl2br w:val="nil"/>
              <w:tr2bl w:val="nil"/>
            </w:tcBorders>
            <w:tcMar>
              <w:top w:w="0" w:type="dxa"/>
              <w:left w:w="105" w:type="dxa"/>
              <w:bottom w:w="0" w:type="dxa"/>
              <w:right w:w="105" w:type="dxa"/>
            </w:tcMar>
            <w:vAlign w:val="top"/>
          </w:tcPr>
          <w:p w14:paraId="35BB5C4D">
            <w:pPr>
              <w:pStyle w:val="7"/>
              <w:jc w:val="both"/>
            </w:pPr>
            <w:r>
              <w:rPr>
                <w:sz w:val="21"/>
              </w:rPr>
              <w:t>中标人须为负责本项目动迁工作的项目负责人和专业动迁人员购买社保以及人身意外伤害保险。</w:t>
            </w:r>
          </w:p>
        </w:tc>
        <w:tc>
          <w:tcPr>
            <w:tcW w:w="1697" w:type="dxa"/>
            <w:tcBorders>
              <w:tl2br w:val="nil"/>
              <w:tr2bl w:val="nil"/>
            </w:tcBorders>
            <w:tcMar>
              <w:top w:w="0" w:type="dxa"/>
              <w:left w:w="105" w:type="dxa"/>
              <w:bottom w:w="0" w:type="dxa"/>
              <w:right w:w="105" w:type="dxa"/>
            </w:tcMar>
            <w:vAlign w:val="top"/>
          </w:tcPr>
          <w:p w14:paraId="4838DDDA">
            <w:pPr>
              <w:pStyle w:val="7"/>
              <w:jc w:val="both"/>
            </w:pPr>
          </w:p>
        </w:tc>
        <w:tc>
          <w:tcPr>
            <w:tcW w:w="646" w:type="dxa"/>
            <w:tcBorders>
              <w:tl2br w:val="nil"/>
              <w:tr2bl w:val="nil"/>
            </w:tcBorders>
            <w:tcMar>
              <w:top w:w="0" w:type="dxa"/>
              <w:left w:w="105" w:type="dxa"/>
              <w:bottom w:w="0" w:type="dxa"/>
              <w:right w:w="105" w:type="dxa"/>
            </w:tcMar>
            <w:vAlign w:val="top"/>
          </w:tcPr>
          <w:p w14:paraId="5D4141F6"/>
        </w:tc>
      </w:tr>
    </w:tbl>
    <w:p w14:paraId="0CA46FB3">
      <w:pPr>
        <w:pStyle w:val="7"/>
      </w:pPr>
      <w:r>
        <w:rPr>
          <w:sz w:val="21"/>
        </w:rPr>
        <w:t>说明：</w:t>
      </w:r>
    </w:p>
    <w:p w14:paraId="0C501560">
      <w:pPr>
        <w:pStyle w:val="7"/>
        <w:ind w:firstLine="420"/>
        <w:jc w:val="both"/>
      </w:pPr>
      <w:r>
        <w:rPr>
          <w:sz w:val="21"/>
        </w:rPr>
        <w:t>①上述《实质性响应一览表》（将“主要商务要求”和“技术标准与要求”中所有“★”号条款</w:t>
      </w:r>
      <w:r>
        <w:rPr>
          <w:sz w:val="21"/>
          <w:shd w:val="clear" w:fill="FFFFFF"/>
        </w:rPr>
        <w:t>集中统一列入，如与“主要商务要求”和“技术标准与要求”不一致，以</w:t>
      </w:r>
      <w:r>
        <w:rPr>
          <w:sz w:val="21"/>
        </w:rPr>
        <w:t>《实质性响应一览表》为准）。</w:t>
      </w:r>
    </w:p>
    <w:p w14:paraId="4D360C47">
      <w:pPr>
        <w:pStyle w:val="7"/>
        <w:ind w:firstLine="420"/>
        <w:jc w:val="both"/>
      </w:pPr>
      <w:r>
        <w:rPr>
          <w:sz w:val="21"/>
        </w:rPr>
        <w:t>②本表所列条款必须一一予以响应，“投标人响应情况”一栏应对采购文件提出的要求和条件作出明确响应，并列明具体响应数值或内容，有差异的要具体说明，并提供相关证明材料（如要求）。</w:t>
      </w:r>
    </w:p>
    <w:p w14:paraId="7FEDEE86">
      <w:pPr>
        <w:pStyle w:val="7"/>
      </w:pPr>
      <w:r>
        <w:rPr>
          <w:sz w:val="21"/>
        </w:rPr>
        <w:t>③请投标人认真填写本表内容，如填写错误将可能导致投标（响应）无效。</w:t>
      </w:r>
    </w:p>
    <w:p w14:paraId="6BCEDB5E">
      <w:pPr>
        <w:pStyle w:val="7"/>
      </w:pPr>
      <w:r>
        <w:t>采购包1（</w:t>
      </w:r>
      <w:r>
        <w:rPr>
          <w:rFonts w:hint="eastAsia"/>
          <w:lang w:eastAsia="zh-CN"/>
        </w:rPr>
        <w:t>广州市白云区萧岗村项目二期地块土地及房屋征收动迁服务</w:t>
      </w:r>
      <w:r>
        <w:t>）</w:t>
      </w:r>
      <w:r>
        <w:rPr>
          <w:b/>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049A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2FD454">
            <w:pPr>
              <w:pStyle w:val="7"/>
            </w:pPr>
            <w:r>
              <w:t>标的提供的时间</w:t>
            </w:r>
          </w:p>
        </w:tc>
        <w:tc>
          <w:tcPr>
            <w:tcW w:w="4153" w:type="dxa"/>
          </w:tcPr>
          <w:p w14:paraId="2F2F27AD">
            <w:pPr>
              <w:pStyle w:val="7"/>
            </w:pPr>
            <w:r>
              <w:t>★自合同签订之日起至本项目土地及房屋征收动迁服务工作完成止。</w:t>
            </w:r>
          </w:p>
        </w:tc>
      </w:tr>
      <w:tr w14:paraId="0F103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13FC4A">
            <w:pPr>
              <w:pStyle w:val="7"/>
            </w:pPr>
            <w:r>
              <w:t>标的提供的地点</w:t>
            </w:r>
          </w:p>
        </w:tc>
        <w:tc>
          <w:tcPr>
            <w:tcW w:w="4153" w:type="dxa"/>
          </w:tcPr>
          <w:p w14:paraId="22336F65">
            <w:pPr>
              <w:pStyle w:val="7"/>
            </w:pPr>
            <w:r>
              <w:t>★广州市白云区，具体以采购人通知为准。</w:t>
            </w:r>
          </w:p>
        </w:tc>
      </w:tr>
      <w:tr w14:paraId="5694E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7A4248">
            <w:pPr>
              <w:pStyle w:val="7"/>
            </w:pPr>
            <w:r>
              <w:t>付款方式</w:t>
            </w:r>
          </w:p>
        </w:tc>
        <w:tc>
          <w:tcPr>
            <w:tcW w:w="4153" w:type="dxa"/>
          </w:tcPr>
          <w:p w14:paraId="4B2AF83F">
            <w:pPr>
              <w:pStyle w:val="7"/>
            </w:pPr>
            <w:r>
              <w:t>1期：支付比例100%,★付款方式： 1期：支付比例30%， 预付款（合同金额30%）：单项合同生效且项目资金到达采购人专用账户后，项目正式启动前由中标人向采购人提交申请报告、有效的增值税普通发票。 2期：支付比例60%， 月度项目进度款：当应收款项大于预付款时开始计算进度款；中标人根据每月度实际开展动迁服务的工作量申请当月进度款项，当月进度款项为实际完成工作量（以实际签订征收补偿协议书的量为准）应付服务费总额的90%；进度款累计最高支付不超合同金额的90%；当月支付前根据考核扣除扣款款项后支付。 3期：支付比例5%， 中标人按时完成本项目全部工作并办理完各项资料（包括声像资料、电子档案）移交，经采购人确认后，支付5%；支付前扣减对应考核扣款款项，经采购人审核后一次性支付给中标人；本期款项最高支付不超合同金额的5%。 4期：支付比例5%， 尾款：项目完工后送财政评审中心或第三方评审机构进行评审，评审结果作为最终结算依据，支付剩余款项。</w:t>
            </w:r>
          </w:p>
          <w:p w14:paraId="6F9EC0D9">
            <w:pPr>
              <w:pStyle w:val="7"/>
            </w:pPr>
            <w:r>
              <w:t>如项目发生合同融资，采购人需将合同款项支付到合同约定收款账户</w:t>
            </w:r>
          </w:p>
        </w:tc>
      </w:tr>
      <w:tr w14:paraId="4E83E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4B153C">
            <w:pPr>
              <w:pStyle w:val="7"/>
            </w:pPr>
            <w:r>
              <w:t>验收要求</w:t>
            </w:r>
          </w:p>
        </w:tc>
        <w:tc>
          <w:tcPr>
            <w:tcW w:w="4153" w:type="dxa"/>
          </w:tcPr>
          <w:p w14:paraId="3BDB8E2F">
            <w:pPr>
              <w:pStyle w:val="7"/>
            </w:pPr>
            <w:r>
              <w:t>1期：采购人按照本项目的服务要求、考核标准和国家及地区现行的相关规定，对中标人进行履约验收。采购人将通过中标人是否按照采购人要求和本项目需求提供服务和服务情况等内容进行履约验收，并出具验收报告。若验收不合格，采购人有权要求中标人进行整改，若整改之后仍不合格，采购人有权终止合同。</w:t>
            </w:r>
          </w:p>
        </w:tc>
      </w:tr>
      <w:tr w14:paraId="2E0CC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ACCCF2">
            <w:pPr>
              <w:pStyle w:val="7"/>
            </w:pPr>
            <w:r>
              <w:t>履约保证金</w:t>
            </w:r>
          </w:p>
        </w:tc>
        <w:tc>
          <w:tcPr>
            <w:tcW w:w="4153" w:type="dxa"/>
          </w:tcPr>
          <w:p w14:paraId="716DC27A">
            <w:pPr>
              <w:pStyle w:val="7"/>
              <w:rPr>
                <w:rFonts w:hint="eastAsia" w:eastAsiaTheme="minorEastAsia"/>
                <w:lang w:eastAsia="zh-CN"/>
              </w:rPr>
            </w:pPr>
            <w:r>
              <w:rPr>
                <w:rFonts w:hint="eastAsia"/>
                <w:lang w:val="en-US" w:eastAsia="zh-CN"/>
              </w:rPr>
              <w:t xml:space="preserve">不收取      </w:t>
            </w:r>
          </w:p>
        </w:tc>
      </w:tr>
      <w:tr w14:paraId="799AA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598BDE">
            <w:pPr>
              <w:pStyle w:val="7"/>
            </w:pPr>
            <w:r>
              <w:t>其他</w:t>
            </w:r>
          </w:p>
        </w:tc>
        <w:tc>
          <w:tcPr>
            <w:tcW w:w="4153" w:type="dxa"/>
          </w:tcPr>
          <w:p w14:paraId="770B5E4B">
            <w:pPr>
              <w:pStyle w:val="7"/>
            </w:pPr>
            <w:r>
              <w:t>其他，★（一）报价要求 1.投标人以优惠率报价，优惠率范围：0≤优惠率＜100%（优惠率保留两位小数，例如XX.XX%，如填写的小数位不足两位，默认小数位为0）且是固定唯一值。 2.投标人的投标报价须包含但不限于动迁人员的工资、补贴、加班费、办公费、交通费、车辆使用费(含路桥费、油电费)、税费，开展征地拆迁服务工作涉及的一切办公设备、资料整理及法律咨询服务费等完成本合同项下的工作的一切直接及间接费用，中标单位不得以任何明目另行要求采购人支付费用。 （二）最高采购限价及结算方式 1.最高采购限价为:</w:t>
            </w:r>
            <w:r>
              <w:rPr>
                <w:highlight w:val="none"/>
              </w:rPr>
              <w:t>人民币</w:t>
            </w:r>
            <w:r>
              <w:rPr>
                <w:rFonts w:hint="eastAsia"/>
                <w:highlight w:val="none"/>
                <w:lang w:val="en-US" w:eastAsia="zh-CN"/>
              </w:rPr>
              <w:t>60000000.00</w:t>
            </w:r>
            <w:r>
              <w:rPr>
                <w:highlight w:val="none"/>
              </w:rPr>
              <w:t>元</w:t>
            </w:r>
            <w:r>
              <w:rPr>
                <w:rFonts w:hint="eastAsia"/>
                <w:highlight w:val="none"/>
                <w:lang w:eastAsia="zh-CN"/>
              </w:rPr>
              <w:t>（</w:t>
            </w:r>
            <w:r>
              <w:rPr>
                <w:rFonts w:hint="eastAsia"/>
                <w:highlight w:val="none"/>
                <w:lang w:val="en-US" w:eastAsia="zh-CN"/>
              </w:rPr>
              <w:t>大写：人民币陆仟万元整</w:t>
            </w:r>
            <w:r>
              <w:rPr>
                <w:rFonts w:hint="eastAsia"/>
                <w:highlight w:val="none"/>
                <w:lang w:eastAsia="zh-CN"/>
              </w:rPr>
              <w:t>）</w:t>
            </w:r>
            <w:r>
              <w:t>；投标报价超过最高限价的报价为无效报价。 2.中标人因获得上述动迁服务费所产生的相关税费由中标人自行承担。 3.中标人应自行考虑在项目实施过程中，有可能因政策原因或相关规定或项目实际情况等原因需将项目分期进行或核减项目实施范围等而导致征地动迁任务总量变动的风险，中标人应自行处理。动迁服务费结算时，按实际完成的工作量进行结算，结算服务费结算公式为：动迁服务费=【国有土地及房屋/集体土地/集体土地上非住宅房屋及搬迁费、停产停业损失、村集体租金损失/住宅房屋及其</w:t>
            </w:r>
            <w:r>
              <w:rPr>
                <w:rFonts w:hint="eastAsia"/>
              </w:rPr>
              <w:t>附着物/临时安置补助费等产生的相关补偿费用的总金额</w:t>
            </w:r>
            <w:r>
              <w:t>】*2%*75%*85%*50%*（1-优惠率）-考核罚款。 4.中标人动迁服务费不包括按规定应由采购人缴交的建设用地各项税费。因本项目征地及办理用地报批工作发生的测绘、查册、评估、公证、诉讼、地块管理等费用由采购人另行按实支付。但中标人因获得上述动迁服务费所产生的相关税费由中标人自行承担。 5.动迁服务费计算上限：根据补偿方案标准，按照经采购人核准的征收补偿合同总金额（含奖励）为计费上限。</w:t>
            </w:r>
          </w:p>
        </w:tc>
      </w:tr>
    </w:tbl>
    <w:p w14:paraId="0ED04D24">
      <w:pPr>
        <w:pStyle w:val="7"/>
      </w:pPr>
      <w:r>
        <w:rPr>
          <w:b/>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4"/>
        <w:gridCol w:w="704"/>
        <w:gridCol w:w="704"/>
        <w:gridCol w:w="705"/>
        <w:gridCol w:w="752"/>
        <w:gridCol w:w="1380"/>
        <w:gridCol w:w="1380"/>
        <w:gridCol w:w="783"/>
        <w:gridCol w:w="705"/>
        <w:gridCol w:w="705"/>
      </w:tblGrid>
      <w:tr w14:paraId="6C195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7D81ED">
            <w:pPr>
              <w:pStyle w:val="7"/>
              <w:jc w:val="center"/>
            </w:pPr>
            <w:r>
              <w:t>序号</w:t>
            </w:r>
          </w:p>
        </w:tc>
        <w:tc>
          <w:tcPr>
            <w:tcW w:w="831" w:type="dxa"/>
          </w:tcPr>
          <w:p w14:paraId="1A5A28E2">
            <w:pPr>
              <w:pStyle w:val="7"/>
              <w:jc w:val="center"/>
            </w:pPr>
            <w:r>
              <w:t>品目名称</w:t>
            </w:r>
          </w:p>
        </w:tc>
        <w:tc>
          <w:tcPr>
            <w:tcW w:w="831" w:type="dxa"/>
          </w:tcPr>
          <w:p w14:paraId="3DB15E45">
            <w:pPr>
              <w:pStyle w:val="7"/>
              <w:jc w:val="center"/>
            </w:pPr>
            <w:r>
              <w:t>标的名称</w:t>
            </w:r>
          </w:p>
        </w:tc>
        <w:tc>
          <w:tcPr>
            <w:tcW w:w="831" w:type="dxa"/>
          </w:tcPr>
          <w:p w14:paraId="1DBCDEDB">
            <w:pPr>
              <w:pStyle w:val="7"/>
              <w:jc w:val="center"/>
            </w:pPr>
            <w:r>
              <w:t>单位</w:t>
            </w:r>
          </w:p>
        </w:tc>
        <w:tc>
          <w:tcPr>
            <w:tcW w:w="831" w:type="dxa"/>
          </w:tcPr>
          <w:p w14:paraId="78EEE73A">
            <w:pPr>
              <w:pStyle w:val="7"/>
              <w:jc w:val="center"/>
            </w:pPr>
            <w:r>
              <w:t>数量</w:t>
            </w:r>
          </w:p>
        </w:tc>
        <w:tc>
          <w:tcPr>
            <w:tcW w:w="831" w:type="dxa"/>
          </w:tcPr>
          <w:p w14:paraId="76739D63">
            <w:pPr>
              <w:pStyle w:val="7"/>
              <w:jc w:val="center"/>
            </w:pPr>
            <w:r>
              <w:t>分项预算单价（元）</w:t>
            </w:r>
          </w:p>
        </w:tc>
        <w:tc>
          <w:tcPr>
            <w:tcW w:w="831" w:type="dxa"/>
          </w:tcPr>
          <w:p w14:paraId="603569F1">
            <w:pPr>
              <w:pStyle w:val="7"/>
              <w:jc w:val="center"/>
            </w:pPr>
            <w:r>
              <w:t>分项预算总价（元）</w:t>
            </w:r>
          </w:p>
        </w:tc>
        <w:tc>
          <w:tcPr>
            <w:tcW w:w="831" w:type="dxa"/>
          </w:tcPr>
          <w:p w14:paraId="6C1F3F0A">
            <w:pPr>
              <w:pStyle w:val="7"/>
              <w:jc w:val="center"/>
            </w:pPr>
            <w:r>
              <w:t xml:space="preserve"> 权重%</w:t>
            </w:r>
          </w:p>
        </w:tc>
        <w:tc>
          <w:tcPr>
            <w:tcW w:w="831" w:type="dxa"/>
          </w:tcPr>
          <w:p w14:paraId="6B2354B4">
            <w:pPr>
              <w:pStyle w:val="7"/>
            </w:pPr>
            <w:r>
              <w:t>所属行业</w:t>
            </w:r>
          </w:p>
        </w:tc>
        <w:tc>
          <w:tcPr>
            <w:tcW w:w="831" w:type="dxa"/>
          </w:tcPr>
          <w:p w14:paraId="15508930">
            <w:pPr>
              <w:pStyle w:val="7"/>
              <w:jc w:val="center"/>
            </w:pPr>
            <w:r>
              <w:t>技术要求</w:t>
            </w:r>
          </w:p>
        </w:tc>
      </w:tr>
      <w:tr w14:paraId="36106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586B84">
            <w:pPr>
              <w:pStyle w:val="7"/>
              <w:jc w:val="center"/>
            </w:pPr>
            <w:r>
              <w:t>1</w:t>
            </w:r>
          </w:p>
        </w:tc>
        <w:tc>
          <w:tcPr>
            <w:tcW w:w="831" w:type="dxa"/>
          </w:tcPr>
          <w:p w14:paraId="7390D7F4">
            <w:pPr>
              <w:pStyle w:val="7"/>
              <w:jc w:val="left"/>
            </w:pPr>
            <w:r>
              <w:t>其他专业技术服务</w:t>
            </w:r>
          </w:p>
        </w:tc>
        <w:tc>
          <w:tcPr>
            <w:tcW w:w="831" w:type="dxa"/>
          </w:tcPr>
          <w:p w14:paraId="4151B9B9">
            <w:pPr>
              <w:pStyle w:val="7"/>
              <w:jc w:val="left"/>
              <w:rPr>
                <w:rFonts w:hint="eastAsia" w:eastAsiaTheme="minorEastAsia"/>
                <w:lang w:eastAsia="zh-CN"/>
              </w:rPr>
            </w:pPr>
            <w:r>
              <w:rPr>
                <w:rFonts w:hint="eastAsia"/>
                <w:lang w:eastAsia="zh-CN"/>
              </w:rPr>
              <w:t>广州市白云区萧岗村项目二期地块土地及房屋征收动迁服务</w:t>
            </w:r>
          </w:p>
        </w:tc>
        <w:tc>
          <w:tcPr>
            <w:tcW w:w="831" w:type="dxa"/>
          </w:tcPr>
          <w:p w14:paraId="0D782C4D">
            <w:pPr>
              <w:pStyle w:val="7"/>
              <w:jc w:val="left"/>
            </w:pPr>
            <w:r>
              <w:t>项</w:t>
            </w:r>
          </w:p>
        </w:tc>
        <w:tc>
          <w:tcPr>
            <w:tcW w:w="831" w:type="dxa"/>
          </w:tcPr>
          <w:p w14:paraId="3873FE3C">
            <w:pPr>
              <w:pStyle w:val="7"/>
              <w:jc w:val="right"/>
            </w:pPr>
            <w:r>
              <w:t>1.00</w:t>
            </w:r>
          </w:p>
        </w:tc>
        <w:tc>
          <w:tcPr>
            <w:tcW w:w="831" w:type="dxa"/>
            <w:shd w:val="clear" w:color="auto" w:fill="auto"/>
          </w:tcPr>
          <w:p w14:paraId="039FA692">
            <w:pPr>
              <w:pStyle w:val="7"/>
              <w:jc w:val="right"/>
              <w:rPr>
                <w:rFonts w:hint="default" w:eastAsiaTheme="minorEastAsia"/>
                <w:lang w:val="en-US" w:eastAsia="zh-CN"/>
              </w:rPr>
            </w:pPr>
            <w:r>
              <w:rPr>
                <w:rFonts w:hint="eastAsia"/>
                <w:lang w:val="en-US" w:eastAsia="zh-CN"/>
              </w:rPr>
              <w:t>60,000,000.00</w:t>
            </w:r>
          </w:p>
        </w:tc>
        <w:tc>
          <w:tcPr>
            <w:tcW w:w="831" w:type="dxa"/>
            <w:shd w:val="clear" w:color="auto" w:fill="auto"/>
          </w:tcPr>
          <w:p w14:paraId="77F0C59A">
            <w:pPr>
              <w:pStyle w:val="7"/>
              <w:jc w:val="right"/>
            </w:pPr>
            <w:r>
              <w:rPr>
                <w:rFonts w:hint="eastAsia"/>
                <w:lang w:val="en-US" w:eastAsia="zh-CN"/>
              </w:rPr>
              <w:t>60,000,000.00</w:t>
            </w:r>
          </w:p>
        </w:tc>
        <w:tc>
          <w:tcPr>
            <w:tcW w:w="831" w:type="dxa"/>
          </w:tcPr>
          <w:p w14:paraId="46167481">
            <w:pPr>
              <w:pStyle w:val="7"/>
            </w:pPr>
            <w:r>
              <w:t>100.0</w:t>
            </w:r>
          </w:p>
        </w:tc>
        <w:tc>
          <w:tcPr>
            <w:tcW w:w="831" w:type="dxa"/>
          </w:tcPr>
          <w:p w14:paraId="538E0CFC">
            <w:pPr>
              <w:pStyle w:val="7"/>
            </w:pPr>
            <w:r>
              <w:t>其他未列明行业</w:t>
            </w:r>
          </w:p>
        </w:tc>
        <w:tc>
          <w:tcPr>
            <w:tcW w:w="831" w:type="dxa"/>
          </w:tcPr>
          <w:p w14:paraId="4D846316">
            <w:pPr>
              <w:pStyle w:val="7"/>
            </w:pPr>
            <w:r>
              <w:t>详见附表一</w:t>
            </w:r>
          </w:p>
        </w:tc>
      </w:tr>
    </w:tbl>
    <w:p w14:paraId="2AD79E75">
      <w:pPr>
        <w:pStyle w:val="7"/>
      </w:pPr>
      <w:r>
        <w:t>备注：最终综合总报价=（各产品报价×各项产品权重）的相加值</w:t>
      </w:r>
    </w:p>
    <w:p w14:paraId="31159DBA">
      <w:pPr>
        <w:pStyle w:val="7"/>
        <w:rPr>
          <w:rFonts w:hint="eastAsia" w:eastAsiaTheme="minorEastAsia"/>
          <w:lang w:eastAsia="zh-CN"/>
        </w:rPr>
      </w:pPr>
      <w:r>
        <w:rPr>
          <w:b/>
        </w:rPr>
        <w:t>附表一：</w:t>
      </w:r>
      <w:r>
        <w:rPr>
          <w:rFonts w:hint="eastAsia"/>
          <w:b/>
          <w:lang w:eastAsia="zh-CN"/>
        </w:rPr>
        <w:t>广州市白云区萧岗村项目二期地块土地及房屋征收动迁服务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26"/>
      </w:tblGrid>
      <w:tr w14:paraId="026BE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BB08E9">
            <w:pPr>
              <w:pStyle w:val="7"/>
            </w:pPr>
            <w:r>
              <w:t>参数性质</w:t>
            </w:r>
          </w:p>
        </w:tc>
        <w:tc>
          <w:tcPr>
            <w:tcW w:w="415" w:type="dxa"/>
          </w:tcPr>
          <w:p w14:paraId="77639F1D">
            <w:pPr>
              <w:pStyle w:val="7"/>
            </w:pPr>
            <w:r>
              <w:t>序号</w:t>
            </w:r>
          </w:p>
        </w:tc>
        <w:tc>
          <w:tcPr>
            <w:tcW w:w="5814" w:type="dxa"/>
          </w:tcPr>
          <w:p w14:paraId="607B2127">
            <w:pPr>
              <w:pStyle w:val="7"/>
            </w:pPr>
            <w:r>
              <w:t>具体技术(参数)要求</w:t>
            </w:r>
          </w:p>
        </w:tc>
      </w:tr>
      <w:tr w14:paraId="3B7F1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C931B32"/>
        </w:tc>
        <w:tc>
          <w:tcPr>
            <w:tcW w:w="415" w:type="dxa"/>
          </w:tcPr>
          <w:p w14:paraId="0EFB4E13">
            <w:pPr>
              <w:pStyle w:val="7"/>
            </w:pPr>
            <w:r>
              <w:t>1</w:t>
            </w:r>
          </w:p>
        </w:tc>
        <w:tc>
          <w:tcPr>
            <w:tcW w:w="5814" w:type="dxa"/>
          </w:tcPr>
          <w:p w14:paraId="4C5298E2">
            <w:pPr>
              <w:pStyle w:val="7"/>
              <w:jc w:val="both"/>
            </w:pPr>
            <w:r>
              <w:rPr>
                <w:b/>
                <w:sz w:val="21"/>
              </w:rPr>
              <w:t>一、项目概况：</w:t>
            </w:r>
          </w:p>
          <w:p w14:paraId="41F45F68">
            <w:pPr>
              <w:pStyle w:val="7"/>
            </w:pPr>
            <w:r>
              <w:rPr>
                <w:sz w:val="21"/>
              </w:rPr>
              <w:t>（1）项目名称：</w:t>
            </w:r>
            <w:r>
              <w:rPr>
                <w:rFonts w:hint="eastAsia"/>
                <w:sz w:val="21"/>
                <w:lang w:eastAsia="zh-CN"/>
              </w:rPr>
              <w:t>广州市白云区萧岗村项目二期地块土地及房屋征收动迁服务</w:t>
            </w:r>
            <w:r>
              <w:rPr>
                <w:sz w:val="21"/>
              </w:rPr>
              <w:t>。</w:t>
            </w:r>
          </w:p>
          <w:p w14:paraId="368D5D9C">
            <w:pPr>
              <w:pStyle w:val="7"/>
              <w:jc w:val="both"/>
            </w:pPr>
            <w:r>
              <w:rPr>
                <w:sz w:val="21"/>
              </w:rPr>
              <w:t>（2）项目需求：根据区政府的工作部署，我街正加快推进</w:t>
            </w:r>
            <w:r>
              <w:rPr>
                <w:rFonts w:hint="eastAsia"/>
                <w:sz w:val="21"/>
              </w:rPr>
              <w:t>广州市白云区萧岗村项目二期</w:t>
            </w:r>
            <w:r>
              <w:rPr>
                <w:sz w:val="21"/>
              </w:rPr>
              <w:t>征拆补偿工作。鉴于项目涉及范围广、任务重，也为了顺利推进该项目征拆工作，需公开招标选取动迁服务。</w:t>
            </w:r>
          </w:p>
          <w:p w14:paraId="748F3C13">
            <w:pPr>
              <w:pStyle w:val="7"/>
            </w:pPr>
            <w:r>
              <w:rPr>
                <w:sz w:val="21"/>
              </w:rPr>
              <w:t>动迁位置见下图：（本图仅供参考示意，最终以实际情况为准）。</w:t>
            </w:r>
          </w:p>
          <w:p w14:paraId="0ED51A7C">
            <w:pPr>
              <w:pStyle w:val="7"/>
              <w:rPr>
                <w:rFonts w:hint="eastAsia" w:eastAsiaTheme="minorEastAsia"/>
                <w:lang w:eastAsia="zh-CN"/>
              </w:rPr>
            </w:pPr>
            <w:r>
              <w:rPr>
                <w:rFonts w:hint="eastAsia" w:eastAsiaTheme="minorEastAsia"/>
                <w:lang w:eastAsia="zh-CN"/>
              </w:rPr>
              <w:drawing>
                <wp:inline distT="0" distB="0" distL="114300" distR="114300">
                  <wp:extent cx="3548380" cy="3921125"/>
                  <wp:effectExtent l="0" t="0" r="13970" b="3175"/>
                  <wp:docPr id="1" name="图片 1" descr="萧岗二期动迁范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萧岗二期动迁范围"/>
                          <pic:cNvPicPr>
                            <a:picLocks noChangeAspect="1"/>
                          </pic:cNvPicPr>
                        </pic:nvPicPr>
                        <pic:blipFill>
                          <a:blip r:embed="rId5"/>
                          <a:stretch>
                            <a:fillRect/>
                          </a:stretch>
                        </pic:blipFill>
                        <pic:spPr>
                          <a:xfrm>
                            <a:off x="0" y="0"/>
                            <a:ext cx="3548380" cy="3921125"/>
                          </a:xfrm>
                          <a:prstGeom prst="rect">
                            <a:avLst/>
                          </a:prstGeom>
                        </pic:spPr>
                      </pic:pic>
                    </a:graphicData>
                  </a:graphic>
                </wp:inline>
              </w:drawing>
            </w:r>
          </w:p>
          <w:p w14:paraId="13069F5F">
            <w:pPr>
              <w:pStyle w:val="7"/>
              <w:jc w:val="both"/>
            </w:pPr>
            <w:r>
              <w:rPr>
                <w:sz w:val="21"/>
              </w:rPr>
              <w:t>（3）采购内容</w:t>
            </w:r>
          </w:p>
          <w:tbl>
            <w:tblPr>
              <w:tblStyle w:val="5"/>
              <w:tblW w:w="5473"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5"/>
              <w:gridCol w:w="698"/>
              <w:gridCol w:w="958"/>
              <w:gridCol w:w="928"/>
              <w:gridCol w:w="1374"/>
              <w:gridCol w:w="690"/>
            </w:tblGrid>
            <w:tr w14:paraId="447184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C61420">
                  <w:pPr>
                    <w:pStyle w:val="7"/>
                    <w:jc w:val="both"/>
                  </w:pPr>
                  <w:r>
                    <w:rPr>
                      <w:sz w:val="21"/>
                    </w:rPr>
                    <w:t>采购包号</w:t>
                  </w:r>
                </w:p>
              </w:tc>
              <w:tc>
                <w:tcPr>
                  <w:tcW w:w="7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E732C1">
                  <w:pPr>
                    <w:pStyle w:val="7"/>
                    <w:jc w:val="both"/>
                  </w:pPr>
                  <w:r>
                    <w:rPr>
                      <w:sz w:val="21"/>
                    </w:rPr>
                    <w:t>采购内容</w:t>
                  </w:r>
                </w:p>
              </w:tc>
              <w:tc>
                <w:tcPr>
                  <w:tcW w:w="10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ABAF94">
                  <w:pPr>
                    <w:pStyle w:val="7"/>
                    <w:jc w:val="both"/>
                  </w:pPr>
                  <w:r>
                    <w:rPr>
                      <w:sz w:val="21"/>
                    </w:rPr>
                    <w:t>类型</w:t>
                  </w:r>
                </w:p>
              </w:tc>
              <w:tc>
                <w:tcPr>
                  <w:tcW w:w="9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9A92C2">
                  <w:pPr>
                    <w:pStyle w:val="7"/>
                    <w:jc w:val="both"/>
                  </w:pPr>
                  <w:r>
                    <w:rPr>
                      <w:sz w:val="21"/>
                    </w:rPr>
                    <w:t>数量</w:t>
                  </w:r>
                </w:p>
              </w:tc>
              <w:tc>
                <w:tcPr>
                  <w:tcW w:w="11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28C911">
                  <w:pPr>
                    <w:pStyle w:val="7"/>
                    <w:jc w:val="both"/>
                  </w:pPr>
                  <w:r>
                    <w:rPr>
                      <w:sz w:val="21"/>
                    </w:rPr>
                    <w:t>采购预算</w:t>
                  </w:r>
                </w:p>
                <w:p w14:paraId="3CF9B49A">
                  <w:pPr>
                    <w:pStyle w:val="7"/>
                    <w:jc w:val="both"/>
                  </w:pPr>
                  <w:r>
                    <w:rPr>
                      <w:sz w:val="21"/>
                    </w:rPr>
                    <w:t>（人民币元）</w:t>
                  </w:r>
                </w:p>
              </w:tc>
              <w:tc>
                <w:tcPr>
                  <w:tcW w:w="7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92CB6E">
                  <w:pPr>
                    <w:pStyle w:val="7"/>
                    <w:jc w:val="both"/>
                  </w:pPr>
                  <w:r>
                    <w:rPr>
                      <w:sz w:val="21"/>
                    </w:rPr>
                    <w:t>备注</w:t>
                  </w:r>
                </w:p>
              </w:tc>
            </w:tr>
            <w:tr w14:paraId="19F30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3" w:type="dxa"/>
                  <w:vMerge w:val="restart"/>
                  <w:tcBorders>
                    <w:top w:val="nil"/>
                    <w:left w:val="single" w:color="000000" w:sz="4" w:space="0"/>
                    <w:right w:val="single" w:color="000000" w:sz="4" w:space="0"/>
                  </w:tcBorders>
                  <w:tcMar>
                    <w:top w:w="0" w:type="dxa"/>
                    <w:left w:w="105" w:type="dxa"/>
                    <w:bottom w:w="0" w:type="dxa"/>
                    <w:right w:w="105" w:type="dxa"/>
                  </w:tcMar>
                  <w:vAlign w:val="top"/>
                </w:tcPr>
                <w:p w14:paraId="458E7A7E">
                  <w:pPr>
                    <w:pStyle w:val="7"/>
                    <w:ind w:firstLine="420"/>
                    <w:jc w:val="both"/>
                  </w:pPr>
                  <w:r>
                    <w:rPr>
                      <w:sz w:val="21"/>
                    </w:rPr>
                    <w:t>1</w:t>
                  </w:r>
                </w:p>
              </w:tc>
              <w:tc>
                <w:tcPr>
                  <w:tcW w:w="756" w:type="dxa"/>
                  <w:vMerge w:val="restart"/>
                  <w:tcBorders>
                    <w:top w:val="nil"/>
                    <w:left w:val="nil"/>
                    <w:right w:val="single" w:color="000000" w:sz="4" w:space="0"/>
                  </w:tcBorders>
                  <w:tcMar>
                    <w:top w:w="0" w:type="dxa"/>
                    <w:left w:w="105" w:type="dxa"/>
                    <w:bottom w:w="0" w:type="dxa"/>
                    <w:right w:w="105" w:type="dxa"/>
                  </w:tcMar>
                  <w:vAlign w:val="top"/>
                </w:tcPr>
                <w:p w14:paraId="47B37871">
                  <w:pPr>
                    <w:pStyle w:val="7"/>
                    <w:jc w:val="both"/>
                    <w:rPr>
                      <w:rFonts w:hint="eastAsia" w:eastAsiaTheme="minorEastAsia"/>
                      <w:lang w:eastAsia="zh-CN"/>
                    </w:rPr>
                  </w:pPr>
                  <w:r>
                    <w:rPr>
                      <w:rFonts w:hint="eastAsia"/>
                      <w:sz w:val="21"/>
                      <w:lang w:eastAsia="zh-CN"/>
                    </w:rPr>
                    <w:t>广州市白云区萧岗村项目二期地块土地及房屋征收动迁服务</w:t>
                  </w:r>
                </w:p>
              </w:tc>
              <w:tc>
                <w:tcPr>
                  <w:tcW w:w="10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E885B">
                  <w:pPr>
                    <w:pStyle w:val="7"/>
                    <w:jc w:val="both"/>
                  </w:pPr>
                  <w:r>
                    <w:rPr>
                      <w:sz w:val="21"/>
                    </w:rPr>
                    <w:t>集体住宅</w:t>
                  </w:r>
                </w:p>
              </w:tc>
              <w:tc>
                <w:tcPr>
                  <w:tcW w:w="951"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top"/>
                </w:tcPr>
                <w:p w14:paraId="74D2DE3C">
                  <w:pPr>
                    <w:pStyle w:val="7"/>
                    <w:jc w:val="both"/>
                    <w:rPr>
                      <w:rFonts w:hint="default" w:eastAsiaTheme="minorEastAsia"/>
                      <w:lang w:val="en-US" w:eastAsia="zh-CN"/>
                    </w:rPr>
                  </w:pPr>
                  <w:r>
                    <w:rPr>
                      <w:rFonts w:hint="eastAsia"/>
                      <w:lang w:val="en-US" w:eastAsia="zh-CN"/>
                    </w:rPr>
                    <w:t>约3483宗</w:t>
                  </w:r>
                </w:p>
              </w:tc>
              <w:tc>
                <w:tcPr>
                  <w:tcW w:w="1194" w:type="dxa"/>
                  <w:vMerge w:val="restart"/>
                  <w:tcBorders>
                    <w:top w:val="nil"/>
                    <w:left w:val="nil"/>
                    <w:right w:val="single" w:color="000000" w:sz="4" w:space="0"/>
                  </w:tcBorders>
                  <w:shd w:val="clear" w:color="auto" w:fill="auto"/>
                  <w:tcMar>
                    <w:top w:w="0" w:type="dxa"/>
                    <w:left w:w="105" w:type="dxa"/>
                    <w:bottom w:w="0" w:type="dxa"/>
                    <w:right w:w="105" w:type="dxa"/>
                  </w:tcMar>
                  <w:vAlign w:val="top"/>
                </w:tcPr>
                <w:p w14:paraId="22991265">
                  <w:pPr>
                    <w:pStyle w:val="7"/>
                    <w:rPr>
                      <w:rFonts w:hint="default" w:eastAsiaTheme="minorEastAsia"/>
                      <w:lang w:val="en-US" w:eastAsia="zh-CN"/>
                    </w:rPr>
                  </w:pPr>
                  <w:r>
                    <w:rPr>
                      <w:rFonts w:hint="eastAsia"/>
                      <w:lang w:val="en-US" w:eastAsia="zh-CN"/>
                    </w:rPr>
                    <w:t>60,000,000.00</w:t>
                  </w:r>
                </w:p>
              </w:tc>
              <w:tc>
                <w:tcPr>
                  <w:tcW w:w="703" w:type="dxa"/>
                  <w:vMerge w:val="restart"/>
                  <w:tcBorders>
                    <w:top w:val="nil"/>
                    <w:left w:val="nil"/>
                    <w:right w:val="single" w:color="000000" w:sz="4" w:space="0"/>
                  </w:tcBorders>
                  <w:tcMar>
                    <w:top w:w="0" w:type="dxa"/>
                    <w:left w:w="105" w:type="dxa"/>
                    <w:bottom w:w="0" w:type="dxa"/>
                    <w:right w:w="105" w:type="dxa"/>
                  </w:tcMar>
                  <w:vAlign w:val="top"/>
                </w:tcPr>
                <w:p w14:paraId="2217003B">
                  <w:pPr>
                    <w:pStyle w:val="7"/>
                  </w:pPr>
                  <w:r>
                    <w:rPr>
                      <w:sz w:val="21"/>
                    </w:rPr>
                    <w:t>具体按中标人实际完成数量结算。</w:t>
                  </w:r>
                </w:p>
              </w:tc>
            </w:tr>
            <w:tr w14:paraId="02E75B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3" w:type="dxa"/>
                  <w:vMerge w:val="continue"/>
                  <w:tcBorders>
                    <w:left w:val="single" w:color="000000" w:sz="4" w:space="0"/>
                    <w:right w:val="single" w:color="000000" w:sz="4" w:space="0"/>
                  </w:tcBorders>
                </w:tcPr>
                <w:p w14:paraId="474B0016"/>
              </w:tc>
              <w:tc>
                <w:tcPr>
                  <w:tcW w:w="756" w:type="dxa"/>
                  <w:vMerge w:val="continue"/>
                  <w:tcBorders>
                    <w:left w:val="nil"/>
                    <w:right w:val="single" w:color="000000" w:sz="4" w:space="0"/>
                  </w:tcBorders>
                </w:tcPr>
                <w:p w14:paraId="4985FE7E"/>
              </w:tc>
              <w:tc>
                <w:tcPr>
                  <w:tcW w:w="1026" w:type="dxa"/>
                  <w:tcBorders>
                    <w:top w:val="nil"/>
                    <w:left w:val="nil"/>
                    <w:bottom w:val="single" w:color="auto" w:sz="4" w:space="0"/>
                    <w:right w:val="single" w:color="000000" w:sz="4" w:space="0"/>
                  </w:tcBorders>
                  <w:tcMar>
                    <w:top w:w="0" w:type="dxa"/>
                    <w:left w:w="105" w:type="dxa"/>
                    <w:bottom w:w="0" w:type="dxa"/>
                    <w:right w:w="105" w:type="dxa"/>
                  </w:tcMar>
                  <w:vAlign w:val="top"/>
                </w:tcPr>
                <w:p w14:paraId="78EF3FA3">
                  <w:pPr>
                    <w:pStyle w:val="7"/>
                    <w:jc w:val="both"/>
                  </w:pPr>
                  <w:r>
                    <w:rPr>
                      <w:rFonts w:hint="eastAsia"/>
                      <w:sz w:val="21"/>
                      <w:lang w:val="en-US" w:eastAsia="zh-CN"/>
                    </w:rPr>
                    <w:t>国有住宅</w:t>
                  </w:r>
                </w:p>
              </w:tc>
              <w:tc>
                <w:tcPr>
                  <w:tcW w:w="951" w:type="dxa"/>
                  <w:tcBorders>
                    <w:top w:val="nil"/>
                    <w:left w:val="nil"/>
                    <w:bottom w:val="single" w:color="auto" w:sz="4" w:space="0"/>
                    <w:right w:val="single" w:color="000000" w:sz="4" w:space="0"/>
                  </w:tcBorders>
                  <w:shd w:val="clear" w:color="auto" w:fill="auto"/>
                  <w:tcMar>
                    <w:top w:w="0" w:type="dxa"/>
                    <w:left w:w="105" w:type="dxa"/>
                    <w:bottom w:w="0" w:type="dxa"/>
                    <w:right w:w="105" w:type="dxa"/>
                  </w:tcMar>
                  <w:vAlign w:val="top"/>
                </w:tcPr>
                <w:p w14:paraId="20B15CD6">
                  <w:pPr>
                    <w:pStyle w:val="7"/>
                    <w:jc w:val="both"/>
                    <w:rPr>
                      <w:rFonts w:hint="default" w:eastAsiaTheme="minorEastAsia"/>
                      <w:lang w:val="en-US" w:eastAsia="zh-CN"/>
                    </w:rPr>
                  </w:pPr>
                  <w:r>
                    <w:rPr>
                      <w:rFonts w:hint="eastAsia"/>
                      <w:lang w:val="en-US" w:eastAsia="zh-CN"/>
                    </w:rPr>
                    <w:t>约14栋</w:t>
                  </w:r>
                </w:p>
              </w:tc>
              <w:tc>
                <w:tcPr>
                  <w:tcW w:w="1194" w:type="dxa"/>
                  <w:vMerge w:val="continue"/>
                  <w:tcBorders>
                    <w:left w:val="nil"/>
                    <w:right w:val="single" w:color="000000" w:sz="4" w:space="0"/>
                  </w:tcBorders>
                  <w:shd w:val="clear" w:color="auto" w:fill="auto"/>
                </w:tcPr>
                <w:p w14:paraId="5A14E89F"/>
              </w:tc>
              <w:tc>
                <w:tcPr>
                  <w:tcW w:w="703" w:type="dxa"/>
                  <w:vMerge w:val="continue"/>
                  <w:tcBorders>
                    <w:left w:val="nil"/>
                    <w:right w:val="single" w:color="000000" w:sz="4" w:space="0"/>
                  </w:tcBorders>
                </w:tcPr>
                <w:p w14:paraId="3FCA9A40"/>
              </w:tc>
            </w:tr>
            <w:tr w14:paraId="25E64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3" w:type="dxa"/>
                  <w:vMerge w:val="continue"/>
                  <w:tcBorders>
                    <w:left w:val="single" w:color="000000" w:sz="4" w:space="0"/>
                    <w:right w:val="single" w:color="000000" w:sz="4" w:space="0"/>
                  </w:tcBorders>
                </w:tcPr>
                <w:p w14:paraId="0654D253"/>
              </w:tc>
              <w:tc>
                <w:tcPr>
                  <w:tcW w:w="756" w:type="dxa"/>
                  <w:vMerge w:val="continue"/>
                  <w:tcBorders>
                    <w:left w:val="nil"/>
                    <w:right w:val="single" w:color="000000" w:sz="4" w:space="0"/>
                  </w:tcBorders>
                </w:tcPr>
                <w:p w14:paraId="260CA433"/>
              </w:tc>
              <w:tc>
                <w:tcPr>
                  <w:tcW w:w="102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D7CC11F">
                  <w:pPr>
                    <w:pStyle w:val="7"/>
                    <w:jc w:val="both"/>
                    <w:rPr>
                      <w:sz w:val="21"/>
                    </w:rPr>
                  </w:pPr>
                  <w:r>
                    <w:rPr>
                      <w:sz w:val="21"/>
                    </w:rPr>
                    <w:t>集体物业（非住宅）</w:t>
                  </w:r>
                </w:p>
              </w:tc>
              <w:tc>
                <w:tcPr>
                  <w:tcW w:w="95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6D98E925">
                  <w:pPr>
                    <w:pStyle w:val="7"/>
                    <w:jc w:val="both"/>
                    <w:rPr>
                      <w:rFonts w:hint="default" w:eastAsiaTheme="minorEastAsia"/>
                      <w:lang w:val="en-US" w:eastAsia="zh-CN"/>
                    </w:rPr>
                  </w:pPr>
                  <w:r>
                    <w:rPr>
                      <w:rFonts w:hint="eastAsia"/>
                      <w:lang w:val="en-US" w:eastAsia="zh-CN"/>
                    </w:rPr>
                    <w:t>约348900㎡</w:t>
                  </w:r>
                </w:p>
              </w:tc>
              <w:tc>
                <w:tcPr>
                  <w:tcW w:w="1194" w:type="dxa"/>
                  <w:vMerge w:val="continue"/>
                  <w:tcBorders>
                    <w:left w:val="nil"/>
                    <w:right w:val="single" w:color="000000" w:sz="4" w:space="0"/>
                  </w:tcBorders>
                  <w:shd w:val="clear" w:color="auto" w:fill="auto"/>
                </w:tcPr>
                <w:p w14:paraId="5F13EB04"/>
              </w:tc>
              <w:tc>
                <w:tcPr>
                  <w:tcW w:w="703" w:type="dxa"/>
                  <w:vMerge w:val="continue"/>
                  <w:tcBorders>
                    <w:left w:val="nil"/>
                    <w:right w:val="single" w:color="000000" w:sz="4" w:space="0"/>
                  </w:tcBorders>
                </w:tcPr>
                <w:p w14:paraId="6A46E1E1"/>
              </w:tc>
            </w:tr>
            <w:tr w14:paraId="15C75C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3" w:type="dxa"/>
                  <w:vMerge w:val="continue"/>
                  <w:tcBorders>
                    <w:left w:val="single" w:color="000000" w:sz="4" w:space="0"/>
                    <w:bottom w:val="single" w:color="auto" w:sz="4" w:space="0"/>
                    <w:right w:val="single" w:color="000000" w:sz="4" w:space="0"/>
                  </w:tcBorders>
                </w:tcPr>
                <w:p w14:paraId="1A9241F2"/>
              </w:tc>
              <w:tc>
                <w:tcPr>
                  <w:tcW w:w="756" w:type="dxa"/>
                  <w:vMerge w:val="continue"/>
                  <w:tcBorders>
                    <w:left w:val="nil"/>
                    <w:bottom w:val="single" w:color="auto" w:sz="4" w:space="0"/>
                    <w:right w:val="single" w:color="000000" w:sz="4" w:space="0"/>
                  </w:tcBorders>
                </w:tcPr>
                <w:p w14:paraId="33447B3D"/>
              </w:tc>
              <w:tc>
                <w:tcPr>
                  <w:tcW w:w="102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92CAF8E">
                  <w:pPr>
                    <w:pStyle w:val="7"/>
                    <w:jc w:val="both"/>
                    <w:rPr>
                      <w:sz w:val="21"/>
                    </w:rPr>
                  </w:pPr>
                  <w:r>
                    <w:rPr>
                      <w:rFonts w:hint="eastAsia"/>
                      <w:sz w:val="21"/>
                      <w:lang w:val="en-US" w:eastAsia="zh-CN"/>
                    </w:rPr>
                    <w:t>国有</w:t>
                  </w:r>
                  <w:r>
                    <w:rPr>
                      <w:sz w:val="21"/>
                    </w:rPr>
                    <w:t>物业（非住宅）</w:t>
                  </w:r>
                </w:p>
              </w:tc>
              <w:tc>
                <w:tcPr>
                  <w:tcW w:w="95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40F8FC4C">
                  <w:pPr>
                    <w:pStyle w:val="7"/>
                    <w:jc w:val="both"/>
                  </w:pPr>
                  <w:r>
                    <w:rPr>
                      <w:rFonts w:hint="eastAsia"/>
                      <w:lang w:val="en-US" w:eastAsia="zh-CN"/>
                    </w:rPr>
                    <w:t>约201600㎡</w:t>
                  </w:r>
                </w:p>
              </w:tc>
              <w:tc>
                <w:tcPr>
                  <w:tcW w:w="1194" w:type="dxa"/>
                  <w:vMerge w:val="continue"/>
                  <w:tcBorders>
                    <w:left w:val="nil"/>
                    <w:bottom w:val="single" w:color="auto" w:sz="4" w:space="0"/>
                    <w:right w:val="single" w:color="000000" w:sz="4" w:space="0"/>
                  </w:tcBorders>
                  <w:shd w:val="clear" w:color="auto" w:fill="auto"/>
                </w:tcPr>
                <w:p w14:paraId="5F060F98"/>
              </w:tc>
              <w:tc>
                <w:tcPr>
                  <w:tcW w:w="703" w:type="dxa"/>
                  <w:vMerge w:val="continue"/>
                  <w:tcBorders>
                    <w:left w:val="nil"/>
                    <w:bottom w:val="single" w:color="auto" w:sz="4" w:space="0"/>
                    <w:right w:val="single" w:color="000000" w:sz="4" w:space="0"/>
                  </w:tcBorders>
                </w:tcPr>
                <w:p w14:paraId="61295740"/>
              </w:tc>
            </w:tr>
          </w:tbl>
          <w:p w14:paraId="5C240BD6">
            <w:pPr>
              <w:pStyle w:val="7"/>
              <w:jc w:val="both"/>
            </w:pPr>
            <w:r>
              <w:rPr>
                <w:b/>
                <w:sz w:val="21"/>
              </w:rPr>
              <w:t>二、服务内容：</w:t>
            </w:r>
          </w:p>
          <w:p w14:paraId="579D846F">
            <w:pPr>
              <w:pStyle w:val="7"/>
              <w:ind w:firstLine="420"/>
              <w:jc w:val="both"/>
            </w:pPr>
            <w:r>
              <w:rPr>
                <w:sz w:val="21"/>
              </w:rPr>
              <w:t>按照《中华人民共和国民法典》、《中华人民共和国土地管理法》、《广东省实施&lt;中华人民共和国土地管理法&gt;办法》、《国有土地上房屋征收与补偿条例》、《广州市国有土地上房屋征收与补偿实施办法》、《广州市农民集体所有土地征收补偿办法》、《广州市城中村改造条例》、《</w:t>
            </w:r>
            <w:r>
              <w:rPr>
                <w:rFonts w:hint="eastAsia"/>
                <w:sz w:val="21"/>
              </w:rPr>
              <w:t>广州市人民政府办公厅关于印发广州市农民集体所有土地征收补偿办法的通知</w:t>
            </w:r>
            <w:r>
              <w:rPr>
                <w:sz w:val="21"/>
              </w:rPr>
              <w:t>》以及广州市白云区人民政府办公室发布的云府办〔2025〕</w:t>
            </w:r>
            <w:r>
              <w:rPr>
                <w:rFonts w:hint="eastAsia"/>
                <w:sz w:val="21"/>
                <w:lang w:val="en-US" w:eastAsia="zh-CN"/>
              </w:rPr>
              <w:t>179</w:t>
            </w:r>
            <w:r>
              <w:rPr>
                <w:sz w:val="21"/>
              </w:rPr>
              <w:t>号文等相关文件和国家、省、市的其他的有关法律、法规、行业规范签订合同并开展项目动迁服务工作，具体服务内容如下：</w:t>
            </w:r>
          </w:p>
          <w:p w14:paraId="24CBA3B4">
            <w:pPr>
              <w:pStyle w:val="7"/>
              <w:jc w:val="both"/>
            </w:pPr>
            <w:r>
              <w:rPr>
                <w:sz w:val="21"/>
              </w:rPr>
              <w:t>1.根据采购人要求，协助采购人依据广州市白云区人民政府有关工作要求及工作委托内容，依法依规开展组织实施用地范围内的土地征收、房屋征收搬迁等工作；</w:t>
            </w:r>
          </w:p>
          <w:p w14:paraId="475DC209">
            <w:pPr>
              <w:pStyle w:val="7"/>
              <w:jc w:val="both"/>
            </w:pPr>
            <w:r>
              <w:rPr>
                <w:sz w:val="21"/>
              </w:rPr>
              <w:t>2.按白云区政府批准的补偿方案组织实施土地征收、房屋征收补偿工作，维护征地、征收及被征地、被征收双方当事人的合法权益；</w:t>
            </w:r>
          </w:p>
          <w:p w14:paraId="0EACA79B">
            <w:pPr>
              <w:pStyle w:val="7"/>
              <w:jc w:val="both"/>
            </w:pPr>
            <w:r>
              <w:rPr>
                <w:sz w:val="21"/>
              </w:rPr>
              <w:t>3.根据采购人要求，协助测量部门对被征收人被征收土地的权属、地类、面积以及地上附着物(含房屋)的权属、种类、数量、结构等现状进行调查、房屋年份核查，并完成上述资料的收集等工作；</w:t>
            </w:r>
          </w:p>
          <w:p w14:paraId="5A749D64">
            <w:pPr>
              <w:pStyle w:val="7"/>
              <w:jc w:val="both"/>
            </w:pPr>
            <w:r>
              <w:rPr>
                <w:sz w:val="21"/>
              </w:rPr>
              <w:t>4.根据采购人要求，在区规划和自然资源部门发布征收土地预公告后，或在区政府印发项目建设通告后，对被征收土地进行监察，及时向采购人反馈情况防止被征收人抢栽抢种农作物或抢建建(构)筑物，针对拟补偿对象进行周边走访询问，必要时形成走访笔录，防止拟补偿对象虚构种植、养殖、经营或建设等事实骗取补偿。根据建设项目规划用地批准文件或采购人提供的工程用地图纸和采购人的要求，负责前期摸查工作，编写调查成果报告并提交给采购人。拟定征地补偿合同，编制征地补偿确认表，被征收人、所属村、社以及各项目业主共同完成补偿确认表审核确认，或者进行征地补偿谈判，协助签订征地补偿合同，同时协助采购人把土地征收补偿资金等所有费用按规定支付到被征收人，督促被征收人按规定期限交付土地及搬迁。征收完成后协助办理征地结案、结算，按照采购人要求制作并整理临迁费台账等资料，制作临迁费的计价表、征收安置补偿补充协议书及临时安置补助费补偿明细表，并安排对应权属人签署前述文件,以及协助住宅房屋安置协议的签订等工作；</w:t>
            </w:r>
          </w:p>
          <w:p w14:paraId="087D029C">
            <w:pPr>
              <w:pStyle w:val="7"/>
              <w:jc w:val="both"/>
            </w:pPr>
            <w:r>
              <w:rPr>
                <w:sz w:val="21"/>
              </w:rPr>
              <w:t>5.根据采购人要求，协助采购人做好征地补偿相关政策的宣传工作，并向被征地单位和个人做好征收补偿标准和制定依据的解释等工作；</w:t>
            </w:r>
          </w:p>
          <w:p w14:paraId="16250891">
            <w:pPr>
              <w:pStyle w:val="7"/>
              <w:jc w:val="both"/>
            </w:pPr>
            <w:r>
              <w:rPr>
                <w:sz w:val="21"/>
              </w:rPr>
              <w:t>6.根据采购人要求，协助被征地村办理社保等相关手续，协助采购人调解征地、房屋征收中出现的各类民事纠纷，应对处理征地、房屋征收工程引发的诉讼及信访，配合做好服务保障等工作；</w:t>
            </w:r>
          </w:p>
          <w:p w14:paraId="23474CB7">
            <w:pPr>
              <w:pStyle w:val="7"/>
              <w:jc w:val="both"/>
            </w:pPr>
            <w:r>
              <w:rPr>
                <w:sz w:val="21"/>
              </w:rPr>
              <w:t>7.根据采购人要求，协助办理复建安置地的用地选址报批、复建安置房屋的规划设计、报建手续;按照采购人要求制作并整理临迁费台账等资料，制作临迁费的计价表、征收安置补偿补充协议书及临时安置补助费补偿明细表，并安排对应权属人签署前述文件;协助采购人开展安置房分房工作和产权证办理工作，及采购人要求的动迁服务范围内重点征拆项目的其他方面等工作；</w:t>
            </w:r>
          </w:p>
          <w:p w14:paraId="6006C413">
            <w:pPr>
              <w:pStyle w:val="7"/>
              <w:jc w:val="both"/>
            </w:pPr>
            <w:r>
              <w:rPr>
                <w:sz w:val="21"/>
              </w:rPr>
              <w:t>8.根据采购人要求，负责按照政府审核部门的要求编制和送审征地、房屋征收等结算，提供符合结算要求的支持资料，配合政府审核部门的结算审核及审计等工作；</w:t>
            </w:r>
          </w:p>
          <w:p w14:paraId="26961409">
            <w:pPr>
              <w:pStyle w:val="7"/>
              <w:jc w:val="both"/>
            </w:pPr>
            <w:r>
              <w:rPr>
                <w:sz w:val="21"/>
              </w:rPr>
              <w:t>9.按采购人要求的时间及时完成动迁服务各项工作及档案资料(含声像资料、电子档案资料等)移交；</w:t>
            </w:r>
          </w:p>
          <w:p w14:paraId="59F323DB">
            <w:pPr>
              <w:pStyle w:val="7"/>
              <w:jc w:val="both"/>
            </w:pPr>
            <w:r>
              <w:rPr>
                <w:sz w:val="21"/>
              </w:rPr>
              <w:t>10.根据采购人要求，负责协助采购人针对动迁服务范围内涉及的内容设立资金台账，并做好项目资金请款、使用、管理以及核销等工作；</w:t>
            </w:r>
          </w:p>
          <w:p w14:paraId="5E874D93">
            <w:pPr>
              <w:pStyle w:val="7"/>
              <w:jc w:val="both"/>
            </w:pPr>
            <w:r>
              <w:rPr>
                <w:sz w:val="21"/>
              </w:rPr>
              <w:t>11.根据采购人要求，配合房屋拆卸单位进行空置房屋安全管理和房屋拆卸前期管理，中标人动员被征收人搬迁，督促协助被征收人办理水、电、煤、电视、电话、网络等停报手续，按签订的征收补偿协议规定的时间搬迁腾空被征收房屋，从被征收人手上接收房屋后进行登记并及时移交拆卸单位。对本项目服务过程存在的潜在环境管理风险，协助做好相关安全工作，配合采购人将环境影响降到最低；</w:t>
            </w:r>
          </w:p>
          <w:p w14:paraId="00585061">
            <w:pPr>
              <w:pStyle w:val="7"/>
              <w:jc w:val="both"/>
            </w:pPr>
            <w:r>
              <w:rPr>
                <w:sz w:val="21"/>
              </w:rPr>
              <w:t>12.负责协助采购人完成后续对集体土地上住宅房屋征收补偿涉及的复建安置或产权调换安排工作及委托本征收项目有关的其他服务工作内容；</w:t>
            </w:r>
          </w:p>
          <w:p w14:paraId="78FE7722">
            <w:pPr>
              <w:pStyle w:val="7"/>
              <w:jc w:val="both"/>
            </w:pPr>
            <w:r>
              <w:rPr>
                <w:sz w:val="21"/>
              </w:rPr>
              <w:t>13.其他采购人交办的与本项目征收补偿事宜有关的任务。</w:t>
            </w:r>
          </w:p>
          <w:p w14:paraId="0EE67B23">
            <w:pPr>
              <w:pStyle w:val="7"/>
              <w:jc w:val="both"/>
            </w:pPr>
            <w:r>
              <w:rPr>
                <w:b/>
                <w:sz w:val="21"/>
              </w:rPr>
              <w:t>三、其他要求</w:t>
            </w:r>
          </w:p>
          <w:p w14:paraId="7B293BDD">
            <w:pPr>
              <w:pStyle w:val="7"/>
              <w:jc w:val="both"/>
            </w:pPr>
            <w:r>
              <w:rPr>
                <w:sz w:val="21"/>
              </w:rPr>
              <w:t>1.中标人必须成立一个对应项目工作小组，不少于</w:t>
            </w:r>
            <w:r>
              <w:rPr>
                <w:rFonts w:hint="default"/>
                <w:sz w:val="21"/>
                <w:lang w:val="en-US" w:eastAsia="zh-CN"/>
              </w:rPr>
              <w:t>60</w:t>
            </w:r>
            <w:r>
              <w:rPr>
                <w:sz w:val="21"/>
              </w:rPr>
              <w:t>人，并明确其中一人为小组负责人，每日对其征收服务范围内的工作情况向采购人汇报。其余人员协助配合开展征收工作。小组成员须执行采购人的工作时间制度，并根据采购人需要，合理弹性安排工作时间；</w:t>
            </w:r>
          </w:p>
          <w:p w14:paraId="18C45D69">
            <w:pPr>
              <w:pStyle w:val="7"/>
              <w:jc w:val="both"/>
            </w:pPr>
            <w:r>
              <w:rPr>
                <w:sz w:val="21"/>
              </w:rPr>
              <w:t>2.中标人派出的项目负责人和专业动迁人员，需经采购人审核后才能开展相关工作；</w:t>
            </w:r>
          </w:p>
          <w:p w14:paraId="59CEE107">
            <w:pPr>
              <w:pStyle w:val="7"/>
              <w:jc w:val="both"/>
            </w:pPr>
            <w:r>
              <w:rPr>
                <w:sz w:val="21"/>
              </w:rPr>
              <w:t>3.未经采购人同意，中标人不得自行更换小组成员。采购人有权要求中标人更换专业动迁人员，更换人员素质不低于上述规定；</w:t>
            </w:r>
          </w:p>
          <w:p w14:paraId="05AF3D53">
            <w:pPr>
              <w:pStyle w:val="7"/>
              <w:jc w:val="both"/>
            </w:pPr>
            <w:r>
              <w:rPr>
                <w:sz w:val="21"/>
              </w:rPr>
              <w:t>4.中标人派出的专业动迁人员在该项目未移交土地之前不得兼任其他项目，如有特殊情况，需报采购人书面同意；</w:t>
            </w:r>
          </w:p>
          <w:p w14:paraId="1C5F85A2">
            <w:pPr>
              <w:pStyle w:val="7"/>
              <w:jc w:val="both"/>
            </w:pPr>
            <w:r>
              <w:rPr>
                <w:sz w:val="21"/>
              </w:rPr>
              <w:t>5.如项目小组成员无法满足工作要求，需增加动迁人员的，应根据工作实际情况增加专业动迁人员，增加人员素质不低于小组专业动迁人员素质要求。中标人不得向采购人要求额外增加相关费用；</w:t>
            </w:r>
          </w:p>
          <w:p w14:paraId="7801860C">
            <w:pPr>
              <w:pStyle w:val="7"/>
              <w:jc w:val="both"/>
            </w:pPr>
            <w:r>
              <w:rPr>
                <w:sz w:val="21"/>
              </w:rPr>
              <w:t>6.中标人必须在签订合同后成立项目部并成立工作小组。在征收现场设立项目办公室，工作人员驻点办公，且工作应有明确分工，按工作内容应分为以下几种组别：动迁组，外勤组，资料组等。</w:t>
            </w:r>
          </w:p>
          <w:p w14:paraId="4DF04CFE">
            <w:pPr>
              <w:pStyle w:val="7"/>
              <w:jc w:val="both"/>
            </w:pPr>
            <w:r>
              <w:rPr>
                <w:rFonts w:hint="eastAsia"/>
                <w:sz w:val="21"/>
                <w:lang w:val="en-US" w:eastAsia="zh-CN"/>
              </w:rPr>
              <w:t>7</w:t>
            </w:r>
            <w:r>
              <w:rPr>
                <w:sz w:val="21"/>
              </w:rPr>
              <w:t>.若由于中标人原因导致无法按期按质完成征收任务，采购方有权终止合同并重新引入新的供应商协助开展工作，未支付的动迁服务费不再支付。</w:t>
            </w:r>
          </w:p>
          <w:p w14:paraId="4A712AA6">
            <w:pPr>
              <w:pStyle w:val="7"/>
              <w:jc w:val="both"/>
            </w:pPr>
            <w:r>
              <w:rPr>
                <w:sz w:val="21"/>
              </w:rPr>
              <w:t>★</w:t>
            </w:r>
            <w:r>
              <w:rPr>
                <w:rFonts w:hint="eastAsia"/>
                <w:sz w:val="21"/>
                <w:lang w:val="en-US" w:eastAsia="zh-CN"/>
              </w:rPr>
              <w:t>8</w:t>
            </w:r>
            <w:r>
              <w:rPr>
                <w:sz w:val="21"/>
              </w:rPr>
              <w:t>.中标人须为负责本项目动迁工作的项目负责人和专业动迁人员购买社保以及人身意外伤害保险。</w:t>
            </w:r>
          </w:p>
          <w:p w14:paraId="1CCF74B3">
            <w:pPr>
              <w:pStyle w:val="7"/>
              <w:numPr>
                <w:ilvl w:val="0"/>
                <w:numId w:val="0"/>
              </w:numPr>
              <w:jc w:val="both"/>
              <w:rPr>
                <w:sz w:val="21"/>
              </w:rPr>
            </w:pPr>
            <w:r>
              <w:rPr>
                <w:rFonts w:hint="eastAsia" w:asciiTheme="minorHAnsi" w:hAnsiTheme="minorHAnsi" w:eastAsiaTheme="minorEastAsia" w:cstheme="minorBidi"/>
                <w:sz w:val="21"/>
                <w:lang w:val="en-US" w:eastAsia="zh-Hans"/>
              </w:rPr>
              <w:t>9.</w:t>
            </w:r>
            <w:r>
              <w:rPr>
                <w:sz w:val="21"/>
              </w:rPr>
              <w:t>中标人在勘界报告出具后30 日内须完成预公告范围内总宗数的15%签订《补偿确认表》（非住宅房屋、住宅房屋均可计算），否则将自愿承担本项目合同总金额（即采购预算总金额）30%作为违约金。</w:t>
            </w:r>
          </w:p>
          <w:p w14:paraId="4273F3E6">
            <w:pPr>
              <w:pStyle w:val="7"/>
              <w:numPr>
                <w:ilvl w:val="-1"/>
                <w:numId w:val="0"/>
              </w:numPr>
              <w:jc w:val="both"/>
              <w:rPr>
                <w:rFonts w:hint="default" w:eastAsiaTheme="minorEastAsia"/>
                <w:sz w:val="21"/>
                <w:lang w:val="en-US" w:eastAsia="zh-CN"/>
              </w:rPr>
            </w:pPr>
            <w:r>
              <w:rPr>
                <w:rFonts w:hint="eastAsia"/>
                <w:sz w:val="21"/>
                <w:lang w:val="en-US" w:eastAsia="zh-CN"/>
              </w:rPr>
              <w:t>10.《</w:t>
            </w:r>
            <w:r>
              <w:rPr>
                <w:rFonts w:hint="eastAsia" w:ascii="宋体" w:hAnsi="宋体" w:eastAsia="宋体" w:cs="宋体"/>
                <w:sz w:val="21"/>
                <w:szCs w:val="21"/>
                <w:lang w:val="en-US" w:eastAsia="zh-CN"/>
              </w:rPr>
              <w:t>补偿确认表</w:t>
            </w:r>
            <w:r>
              <w:rPr>
                <w:rFonts w:hint="eastAsia"/>
                <w:sz w:val="21"/>
                <w:lang w:val="en-US" w:eastAsia="zh-CN"/>
              </w:rPr>
              <w:t>》</w:t>
            </w:r>
            <w:r>
              <w:rPr>
                <w:rFonts w:hint="eastAsia" w:ascii="宋体" w:hAnsi="宋体" w:eastAsia="宋体" w:cs="宋体"/>
                <w:sz w:val="21"/>
                <w:szCs w:val="21"/>
                <w:lang w:val="en-US" w:eastAsia="zh-CN"/>
              </w:rPr>
              <w:t>的联合审查需要按采购人要求，由中标人先行完成审查，并经采购人同意后进行确认盖章。</w:t>
            </w:r>
          </w:p>
          <w:p w14:paraId="4DF81F1E">
            <w:pPr>
              <w:pStyle w:val="7"/>
              <w:jc w:val="both"/>
            </w:pPr>
            <w:r>
              <w:rPr>
                <w:sz w:val="21"/>
              </w:rPr>
              <w:t>★</w:t>
            </w:r>
            <w:r>
              <w:rPr>
                <w:rFonts w:hint="default"/>
                <w:sz w:val="21"/>
                <w:lang w:val="en-US"/>
              </w:rPr>
              <w:t>11</w:t>
            </w:r>
            <w:r>
              <w:rPr>
                <w:sz w:val="21"/>
              </w:rPr>
              <w:t>.项目部需配备必要办公设备，车辆等，以满足完成本项目相关交通、办公需求。</w:t>
            </w:r>
          </w:p>
          <w:p w14:paraId="723B5575">
            <w:pPr>
              <w:pStyle w:val="7"/>
              <w:jc w:val="both"/>
            </w:pPr>
            <w:r>
              <w:rPr>
                <w:b/>
                <w:sz w:val="21"/>
              </w:rPr>
              <w:t>四、服务要求：</w:t>
            </w:r>
          </w:p>
          <w:p w14:paraId="763C6B96">
            <w:pPr>
              <w:pStyle w:val="7"/>
              <w:jc w:val="both"/>
            </w:pPr>
            <w:r>
              <w:rPr>
                <w:sz w:val="21"/>
              </w:rPr>
              <w:t>1.在采购人监督指导协调下，根据有关《补偿安置方案》，开展全过程动迁服务工作。</w:t>
            </w:r>
          </w:p>
          <w:p w14:paraId="58532A80">
            <w:pPr>
              <w:pStyle w:val="7"/>
              <w:jc w:val="both"/>
            </w:pPr>
            <w:r>
              <w:rPr>
                <w:sz w:val="21"/>
              </w:rPr>
              <w:t>2.成立动迁工作小组，制订完善的动迁方案、人员管理制度和保密制度。</w:t>
            </w:r>
          </w:p>
          <w:p w14:paraId="179CA87F">
            <w:pPr>
              <w:pStyle w:val="7"/>
              <w:jc w:val="both"/>
            </w:pPr>
            <w:r>
              <w:rPr>
                <w:sz w:val="21"/>
              </w:rPr>
              <w:t>3.严格按照国有土地上房屋征收与补偿的法律法规和有关《补偿安置方案》，以采购人名义促成被征收人签订《征收补偿协议》，未经采购人事先书面同意，不得擅自提高征地补偿标准或增加补偿项目等。</w:t>
            </w:r>
          </w:p>
          <w:p w14:paraId="3594F9A5">
            <w:pPr>
              <w:pStyle w:val="7"/>
              <w:jc w:val="both"/>
            </w:pPr>
            <w:r>
              <w:rPr>
                <w:sz w:val="21"/>
              </w:rPr>
              <w:t>4.按规定办理《征收补偿协议》的备案手续。</w:t>
            </w:r>
          </w:p>
          <w:p w14:paraId="61040E01">
            <w:pPr>
              <w:pStyle w:val="7"/>
              <w:jc w:val="both"/>
            </w:pPr>
            <w:r>
              <w:rPr>
                <w:sz w:val="21"/>
              </w:rPr>
              <w:t>5.每月28日前报告当月动迁工作情况及下个月的工作计划。</w:t>
            </w:r>
          </w:p>
          <w:p w14:paraId="015B2739">
            <w:pPr>
              <w:pStyle w:val="7"/>
              <w:jc w:val="both"/>
            </w:pPr>
            <w:r>
              <w:rPr>
                <w:sz w:val="21"/>
              </w:rPr>
              <w:t>6.对动迁工作中遇到的特殊问题应及时口头向采购人报告，并于5天内向采购人提出书面报告及解决方案，按采购人指示处理。</w:t>
            </w:r>
          </w:p>
          <w:p w14:paraId="21192FC1">
            <w:pPr>
              <w:pStyle w:val="7"/>
              <w:jc w:val="both"/>
            </w:pPr>
            <w:r>
              <w:rPr>
                <w:sz w:val="21"/>
              </w:rPr>
              <w:t>7.动员被征收人搬迁，督促被征收人办理水、电等停报手续。</w:t>
            </w:r>
          </w:p>
          <w:p w14:paraId="718C1984">
            <w:pPr>
              <w:pStyle w:val="7"/>
              <w:jc w:val="both"/>
            </w:pPr>
            <w:r>
              <w:rPr>
                <w:sz w:val="21"/>
              </w:rPr>
              <w:t>8.按《征收补偿协议》中约定的时间搬迁腾空被征收非住宅、住宅并交给采购人接收。</w:t>
            </w:r>
          </w:p>
          <w:p w14:paraId="261F41A5">
            <w:pPr>
              <w:pStyle w:val="7"/>
              <w:jc w:val="both"/>
            </w:pPr>
            <w:r>
              <w:rPr>
                <w:sz w:val="21"/>
              </w:rPr>
              <w:t>9.负责本单位动迁人员报酬等合理费用及人身安全。</w:t>
            </w:r>
          </w:p>
          <w:p w14:paraId="7F096F2C">
            <w:pPr>
              <w:pStyle w:val="7"/>
              <w:jc w:val="both"/>
            </w:pPr>
            <w:r>
              <w:rPr>
                <w:sz w:val="21"/>
              </w:rPr>
              <w:t>10.严格依法实施动迁、安置等工作，因中标人违法或违规、不合理操作原因导致被征收人或第三人人身或财产损害，由中标人自行负担一切责任。因此给采购人造成损失的，中标人应赔偿采购人的全部损失。</w:t>
            </w:r>
          </w:p>
          <w:p w14:paraId="3C437A36">
            <w:pPr>
              <w:pStyle w:val="7"/>
              <w:jc w:val="both"/>
            </w:pPr>
            <w:r>
              <w:rPr>
                <w:sz w:val="21"/>
              </w:rPr>
              <w:t>11.及时整理动迁服务过程中的各项档案资料，在动迁安置工作结束后三个月内完整移交给采购人。</w:t>
            </w:r>
          </w:p>
          <w:p w14:paraId="047D1985">
            <w:pPr>
              <w:pStyle w:val="7"/>
              <w:jc w:val="both"/>
            </w:pPr>
            <w:r>
              <w:rPr>
                <w:sz w:val="21"/>
              </w:rPr>
              <w:t>12.凭《征收补偿协议》等资料及时到相关部门办理被征收房屋的产权注销和土地使用权注销手续。</w:t>
            </w:r>
          </w:p>
          <w:p w14:paraId="29CF2545">
            <w:pPr>
              <w:pStyle w:val="7"/>
              <w:jc w:val="both"/>
            </w:pPr>
            <w:r>
              <w:rPr>
                <w:sz w:val="21"/>
              </w:rPr>
              <w:t>13.协助采购人整理本项目土地收储补偿的涉及的相关行政复议或诉讼案件等的法律文件资料。</w:t>
            </w:r>
          </w:p>
          <w:p w14:paraId="6E144ACB">
            <w:pPr>
              <w:pStyle w:val="7"/>
              <w:jc w:val="both"/>
            </w:pPr>
            <w:r>
              <w:rPr>
                <w:sz w:val="21"/>
              </w:rPr>
              <w:t>14.中标人提供的本项目的服务人员须为固定的专业动迁人员，应熟悉项目所在地征收地或动迁安置项目的办事流程。</w:t>
            </w:r>
          </w:p>
          <w:p w14:paraId="66C05AE6">
            <w:pPr>
              <w:pStyle w:val="7"/>
              <w:jc w:val="both"/>
            </w:pPr>
            <w:r>
              <w:rPr>
                <w:sz w:val="21"/>
              </w:rPr>
              <w:t>15.中标人须成立一个动迁工作小组，具体人数要求由中标人根据项目的实际需要配置。小组成员需与投标文件拟投入人员一致，并明确其中一人为项目负责人。小组成员须执行采购人的工作时间制度，并根据采购人需要，合理弹性安排工作时间。</w:t>
            </w:r>
          </w:p>
          <w:p w14:paraId="55189CFE">
            <w:pPr>
              <w:pStyle w:val="7"/>
              <w:jc w:val="both"/>
            </w:pPr>
            <w:r>
              <w:rPr>
                <w:sz w:val="21"/>
              </w:rPr>
              <w:t>16.中标人派出的项目负责人和动迁人员，应掌握房屋建筑相关专业知识，须经采购人考核后才能开展相关工作。</w:t>
            </w:r>
          </w:p>
          <w:p w14:paraId="47172C7D">
            <w:pPr>
              <w:pStyle w:val="7"/>
              <w:jc w:val="both"/>
            </w:pPr>
            <w:r>
              <w:rPr>
                <w:sz w:val="21"/>
              </w:rPr>
              <w:t>17.动迁工作小组人员为专职工作人员，不得同时兼任其它项目工作，听从采购人统筹安排调度，全部固定于征收现场项目办公场地内办公，在项目结束前不得减少动迁工作小组人员，未经采购人同意，不得无故更换工作小组人员，若需更换需书面告知采购人并取得采购人同意后更换。对不符合要求的人员，采购人有权要求中标人更换，更换人员素质不得低于被更换的人员素质要求。</w:t>
            </w:r>
          </w:p>
          <w:p w14:paraId="7D3C7ADE">
            <w:pPr>
              <w:pStyle w:val="7"/>
              <w:jc w:val="both"/>
            </w:pPr>
            <w:r>
              <w:rPr>
                <w:sz w:val="21"/>
              </w:rPr>
              <w:t>18.如采购人认为动迁人员的安排无法满足工作要求的，中标人须按照采购人的要求增加动迁人员。增加人员素质不得低于小组动迁人员素质要求，由此产生的费用包含在动迁服务费中，采购人不再额外支付任何费用。</w:t>
            </w:r>
          </w:p>
          <w:p w14:paraId="5DDD2E57">
            <w:pPr>
              <w:pStyle w:val="7"/>
              <w:jc w:val="both"/>
            </w:pPr>
            <w:r>
              <w:rPr>
                <w:sz w:val="21"/>
              </w:rPr>
              <w:t>19.服务方式：</w:t>
            </w:r>
          </w:p>
          <w:p w14:paraId="6E8FE235">
            <w:pPr>
              <w:pStyle w:val="7"/>
              <w:jc w:val="both"/>
            </w:pPr>
            <w:r>
              <w:rPr>
                <w:sz w:val="21"/>
              </w:rPr>
              <w:t>项目负责人工作要求如下：</w:t>
            </w:r>
          </w:p>
          <w:p w14:paraId="3A2C3E4B">
            <w:pPr>
              <w:pStyle w:val="7"/>
              <w:jc w:val="both"/>
            </w:pPr>
            <w:r>
              <w:rPr>
                <w:sz w:val="21"/>
              </w:rPr>
              <w:t>（1）根据采购人工作安排和需求，合理安排该项目的计划。</w:t>
            </w:r>
          </w:p>
          <w:p w14:paraId="558A34F2">
            <w:pPr>
              <w:pStyle w:val="7"/>
              <w:jc w:val="both"/>
            </w:pPr>
            <w:r>
              <w:rPr>
                <w:sz w:val="21"/>
              </w:rPr>
              <w:t>（2）根据采购人工作安排和需求，参与各类重大会议及谈判工作。</w:t>
            </w:r>
          </w:p>
          <w:p w14:paraId="00220B22">
            <w:pPr>
              <w:pStyle w:val="7"/>
              <w:jc w:val="both"/>
            </w:pPr>
            <w:r>
              <w:rPr>
                <w:sz w:val="21"/>
              </w:rPr>
              <w:t>（3）每周向采购人项目负责人进行各种形式的工作汇报，每月就项目征收工作向采购人提供书面报告。</w:t>
            </w:r>
          </w:p>
          <w:p w14:paraId="07B4D908">
            <w:pPr>
              <w:pStyle w:val="7"/>
              <w:jc w:val="both"/>
            </w:pPr>
            <w:r>
              <w:rPr>
                <w:sz w:val="21"/>
              </w:rPr>
              <w:t>（4）采购人要求完成的其他工作内容。</w:t>
            </w:r>
          </w:p>
          <w:p w14:paraId="7FBF2D97">
            <w:pPr>
              <w:pStyle w:val="7"/>
              <w:jc w:val="both"/>
            </w:pPr>
            <w:r>
              <w:rPr>
                <w:sz w:val="21"/>
              </w:rPr>
              <w:t>项目小组人员具体工作有：</w:t>
            </w:r>
          </w:p>
          <w:p w14:paraId="297AA703">
            <w:pPr>
              <w:pStyle w:val="7"/>
              <w:jc w:val="both"/>
            </w:pPr>
            <w:r>
              <w:rPr>
                <w:sz w:val="21"/>
              </w:rPr>
              <w:t>（1）根据采购人要求每天按照采购人工作时间到房屋征收现场上班，根据采购人工作需要和安排，进行具体的日常工作。</w:t>
            </w:r>
          </w:p>
          <w:p w14:paraId="64A34FB2">
            <w:pPr>
              <w:pStyle w:val="7"/>
              <w:jc w:val="both"/>
            </w:pPr>
            <w:r>
              <w:rPr>
                <w:sz w:val="21"/>
              </w:rPr>
              <w:t>（2）除现场处理采购人日常工作外，涉及书面文件处理的，必须与项目负责人进行沟通，并由采购人最后确定。</w:t>
            </w:r>
          </w:p>
          <w:p w14:paraId="2A1E0B13">
            <w:pPr>
              <w:pStyle w:val="7"/>
              <w:jc w:val="both"/>
            </w:pPr>
            <w:r>
              <w:rPr>
                <w:sz w:val="21"/>
              </w:rPr>
              <w:t>（3）对动迁项目的征收工作各类合同、文件的编写和归档实行规范化管理。</w:t>
            </w:r>
          </w:p>
          <w:p w14:paraId="6F816F7E">
            <w:pPr>
              <w:pStyle w:val="7"/>
              <w:jc w:val="both"/>
            </w:pPr>
            <w:r>
              <w:rPr>
                <w:sz w:val="21"/>
              </w:rPr>
              <w:t>（4）采购人要求完成的其他工作内容。</w:t>
            </w:r>
          </w:p>
          <w:p w14:paraId="3419DE9F">
            <w:pPr>
              <w:pStyle w:val="7"/>
              <w:jc w:val="both"/>
            </w:pPr>
            <w:r>
              <w:rPr>
                <w:sz w:val="21"/>
              </w:rPr>
              <w:t>20.加强对动迁人员的管理，做到依法文明动迁，维护被征收人的合法权益，维护社会稳定。</w:t>
            </w:r>
          </w:p>
          <w:p w14:paraId="7F19A47D">
            <w:pPr>
              <w:pStyle w:val="7"/>
              <w:jc w:val="both"/>
            </w:pPr>
            <w:r>
              <w:rPr>
                <w:sz w:val="21"/>
              </w:rPr>
              <w:t>21.中标人协同相关单位办理场地移交手续。</w:t>
            </w:r>
          </w:p>
          <w:p w14:paraId="2E61F456">
            <w:pPr>
              <w:pStyle w:val="7"/>
              <w:jc w:val="both"/>
            </w:pPr>
            <w:r>
              <w:rPr>
                <w:sz w:val="21"/>
              </w:rPr>
              <w:t>22.中标人应在完工后60天内按采购人及政府审核部门的要求编制和送审征地、房屋征收等项目结算，提供符合结算要求的支持资料，始终配合政府审核部门的审计及结算的审核工作，除不可抗力外，不得推迟、延误办理有关结案、结算手续。必须保证所有结算资料依据的完整性、真实性、有效性和合法性。按采购人要求做好档案资料收集、整理、归档及移交工作。</w:t>
            </w:r>
          </w:p>
          <w:p w14:paraId="5D0397E1">
            <w:pPr>
              <w:pStyle w:val="7"/>
              <w:jc w:val="both"/>
            </w:pPr>
            <w:r>
              <w:rPr>
                <w:sz w:val="21"/>
              </w:rPr>
              <w:t>2</w:t>
            </w:r>
            <w:r>
              <w:rPr>
                <w:rFonts w:hint="eastAsia"/>
                <w:sz w:val="21"/>
                <w:lang w:val="en-US" w:eastAsia="zh-CN"/>
              </w:rPr>
              <w:t>3</w:t>
            </w:r>
            <w:r>
              <w:rPr>
                <w:sz w:val="21"/>
              </w:rPr>
              <w:t>.中标人应及时发现和报告应急、突发事件，保证及时负责处理该事件，遇到重大应急、突发事件，应及时采取措施避免事件扩大，并配合采购人及时处理。</w:t>
            </w:r>
          </w:p>
          <w:p w14:paraId="4C2CD5CD">
            <w:pPr>
              <w:pStyle w:val="7"/>
              <w:jc w:val="both"/>
            </w:pPr>
            <w:r>
              <w:rPr>
                <w:sz w:val="21"/>
              </w:rPr>
              <w:t>2</w:t>
            </w:r>
            <w:r>
              <w:rPr>
                <w:rFonts w:hint="eastAsia"/>
                <w:sz w:val="21"/>
                <w:lang w:val="en-US" w:eastAsia="zh-CN"/>
              </w:rPr>
              <w:t>4</w:t>
            </w:r>
            <w:r>
              <w:rPr>
                <w:sz w:val="21"/>
              </w:rPr>
              <w:t>.中标人未履行投标承诺或违反合同规定，无法继续履行合同或影响项目正常进行的，或因中标人工作方式方法不当造成征收安置工作被动，采购人有权单方面终止合同，中标人必须无条件服从，并自收到采购人通知终止合同之日起5日内移交所有档案、资料给采购人。</w:t>
            </w:r>
          </w:p>
          <w:p w14:paraId="30054379">
            <w:pPr>
              <w:pStyle w:val="7"/>
              <w:jc w:val="both"/>
            </w:pPr>
            <w:r>
              <w:rPr>
                <w:sz w:val="21"/>
              </w:rPr>
              <w:t>2</w:t>
            </w:r>
            <w:r>
              <w:rPr>
                <w:rFonts w:hint="eastAsia"/>
                <w:sz w:val="21"/>
                <w:lang w:val="en-US" w:eastAsia="zh-CN"/>
              </w:rPr>
              <w:t>5</w:t>
            </w:r>
            <w:r>
              <w:rPr>
                <w:sz w:val="21"/>
              </w:rPr>
              <w:t>.中标人的服务质量和服务态度达不到要求，采购人有权终止合同。</w:t>
            </w:r>
          </w:p>
          <w:p w14:paraId="4304FF12">
            <w:pPr>
              <w:pStyle w:val="7"/>
              <w:jc w:val="both"/>
            </w:pPr>
            <w:r>
              <w:rPr>
                <w:sz w:val="21"/>
              </w:rPr>
              <w:t>2</w:t>
            </w:r>
            <w:r>
              <w:rPr>
                <w:rFonts w:hint="eastAsia"/>
                <w:sz w:val="21"/>
                <w:lang w:val="en-US" w:eastAsia="zh-CN"/>
              </w:rPr>
              <w:t>6</w:t>
            </w:r>
            <w:r>
              <w:rPr>
                <w:sz w:val="21"/>
              </w:rPr>
              <w:t>.中标人对聘用工作人员严格管理，对他们的行为负全责，如在发生劳资纠纷、意外（生病、伤亡事故）或违反国家机关、政府部门等规定、触犯国家法律等，由中标人承担全部责任，与采购人无关。</w:t>
            </w:r>
          </w:p>
          <w:p w14:paraId="0C6DD471">
            <w:pPr>
              <w:pStyle w:val="7"/>
              <w:jc w:val="both"/>
            </w:pPr>
            <w:r>
              <w:rPr>
                <w:sz w:val="21"/>
              </w:rPr>
              <w:t>2</w:t>
            </w:r>
            <w:r>
              <w:rPr>
                <w:rFonts w:hint="eastAsia"/>
                <w:sz w:val="21"/>
                <w:lang w:val="en-US" w:eastAsia="zh-CN"/>
              </w:rPr>
              <w:t>7</w:t>
            </w:r>
            <w:r>
              <w:rPr>
                <w:sz w:val="21"/>
              </w:rPr>
              <w:t>.中标人须定期到项目现场开展专门的安全生产巡查，落实安全生产监管责任，每周不得少于两次，并做好巡查及整改记录。</w:t>
            </w:r>
          </w:p>
          <w:p w14:paraId="21CAE282">
            <w:pPr>
              <w:pStyle w:val="7"/>
              <w:jc w:val="both"/>
            </w:pPr>
            <w:r>
              <w:rPr>
                <w:sz w:val="21"/>
              </w:rPr>
              <w:t>2</w:t>
            </w:r>
            <w:r>
              <w:rPr>
                <w:rFonts w:hint="eastAsia"/>
                <w:sz w:val="21"/>
                <w:lang w:val="en-US" w:eastAsia="zh-CN"/>
              </w:rPr>
              <w:t>8</w:t>
            </w:r>
            <w:r>
              <w:rPr>
                <w:sz w:val="21"/>
              </w:rPr>
              <w:t>.未经采购人事先书面同意，中标人不得将本项目合同相关内容及在讨论、签订、执行本项目合同过程中所获得的一切信息（包括但不限于国家机密、商业秘密、技术秘密、补偿标准等）披露给第三方，但法律、法规另有规定或双方另有约定的除外。本项目合同终止后本条款仍然适用，不受时间限制。中标人应专门与从事本项目的工作人员或雇员约定，要求该工作人员或雇员同样以谨慎的态度、方法进行保密工作，防止保密信息或相关信息泄露、公布和传播。中标人对于其工作人员或雇员的泄密行为须承担连带责任。</w:t>
            </w:r>
          </w:p>
          <w:p w14:paraId="37FF1E3E">
            <w:pPr>
              <w:pStyle w:val="7"/>
              <w:jc w:val="both"/>
            </w:pPr>
            <w:r>
              <w:rPr>
                <w:rFonts w:hint="eastAsia"/>
                <w:sz w:val="21"/>
                <w:lang w:val="en-US" w:eastAsia="zh-CN"/>
              </w:rPr>
              <w:t>29</w:t>
            </w:r>
            <w:r>
              <w:rPr>
                <w:sz w:val="21"/>
              </w:rPr>
              <w:t>.中标人须完全遵守《中华人民共和国劳动合同法》有关规定和《中华人民共和国妇女权益保障法》中关于“劳动和社会保障权益”的有关要求。</w:t>
            </w:r>
          </w:p>
        </w:tc>
      </w:tr>
      <w:tr w14:paraId="438F6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917603">
            <w:pPr>
              <w:pStyle w:val="7"/>
            </w:pPr>
            <w:r>
              <w:t>说明</w:t>
            </w:r>
          </w:p>
        </w:tc>
        <w:tc>
          <w:tcPr>
            <w:tcW w:w="6229" w:type="dxa"/>
            <w:gridSpan w:val="2"/>
          </w:tcPr>
          <w:p w14:paraId="53038A69">
            <w:pPr>
              <w:pStyle w:val="7"/>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5D9C1721">
      <w:pPr>
        <w:pStyle w:val="7"/>
      </w:pPr>
      <w:r>
        <w:t xml:space="preserve">  </w:t>
      </w:r>
    </w:p>
    <w:p w14:paraId="4992079C">
      <w:pPr>
        <w:pStyle w:val="7"/>
      </w:pPr>
      <w:r>
        <w:t xml:space="preserve">  </w:t>
      </w:r>
    </w:p>
    <w:p w14:paraId="7641751D">
      <w:pPr>
        <w:rPr>
          <w:rFonts w:hint="eastAsia"/>
          <w:lang w:val="en-US" w:eastAsia="zh-Hans"/>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3B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CD4EA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8CD4EA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CA07104"/>
    <w:rsid w:val="177F50ED"/>
    <w:rsid w:val="1BDE1984"/>
    <w:rsid w:val="1E4D3DCD"/>
    <w:rsid w:val="2FE71F24"/>
    <w:rsid w:val="39483167"/>
    <w:rsid w:val="3A1C57C1"/>
    <w:rsid w:val="3B652A63"/>
    <w:rsid w:val="426D49C4"/>
    <w:rsid w:val="4AB83D89"/>
    <w:rsid w:val="4B130207"/>
    <w:rsid w:val="51FE1E9C"/>
    <w:rsid w:val="53B52B8D"/>
    <w:rsid w:val="53FD13CD"/>
    <w:rsid w:val="5D5937E4"/>
    <w:rsid w:val="611A4D44"/>
    <w:rsid w:val="6C8E5D38"/>
    <w:rsid w:val="6F525F01"/>
    <w:rsid w:val="75AE28F4"/>
    <w:rsid w:val="763311B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2429</Words>
  <Characters>2559</Characters>
  <Lines>0</Lines>
  <Paragraphs>0</Paragraphs>
  <TotalTime>91</TotalTime>
  <ScaleCrop>false</ScaleCrop>
  <LinksUpToDate>false</LinksUpToDate>
  <CharactersWithSpaces>2580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An</cp:lastModifiedBy>
  <cp:lastPrinted>2025-10-23T06:30:00Z</cp:lastPrinted>
  <dcterms:modified xsi:type="dcterms:W3CDTF">2025-10-30T03:38:34Z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eyJoZGlkIjoiMDEwYzI2ZTI4MDA0ODg3MjA0ZTYxNTVhYzAzYTY5OTkiLCJ1c2VySWQiOiIzNjQxMjMwNTgifQ==</vt:lpwstr>
  </property>
  <property fmtid="{D5CDD505-2E9C-101B-9397-08002B2CF9AE}" pid="4" name="ICV">
    <vt:lpwstr>96A87E6C70244265A28ABC3E0FF39BD0_13</vt:lpwstr>
  </property>
</Properties>
</file>