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1230">
      <w:pPr>
        <w:pageBreakBefore/>
        <w:widowControl w:val="0"/>
        <w:numPr>
          <w:numId w:val="0"/>
        </w:numPr>
        <w:wordWrap w:val="0"/>
        <w:adjustRightInd w:val="0"/>
        <w:snapToGrid w:val="0"/>
        <w:spacing w:before="240" w:after="240" w:line="288" w:lineRule="auto"/>
        <w:ind w:leftChars="0"/>
        <w:jc w:val="center"/>
        <w:outlineLvl w:val="0"/>
        <w:rPr>
          <w:rFonts w:ascii="宋体" w:hAnsi="宋体" w:eastAsia="宋体" w:cs="Times New Roman"/>
          <w:b/>
          <w:color w:val="auto"/>
          <w:sz w:val="32"/>
          <w:szCs w:val="36"/>
          <w:highlight w:val="none"/>
          <w:lang w:val="en-US" w:eastAsia="zh-CN" w:bidi="ar-SA"/>
        </w:rPr>
      </w:pPr>
      <w:bookmarkStart w:id="3" w:name="_GoBack"/>
      <w:bookmarkEnd w:id="3"/>
      <w:bookmarkStart w:id="0" w:name="_Toc206184804"/>
      <w:bookmarkStart w:id="1" w:name="_Toc296588452"/>
      <w:bookmarkStart w:id="2" w:name="_Toc297067748"/>
      <w:r>
        <w:rPr>
          <w:rFonts w:hint="eastAsia" w:ascii="宋体" w:hAnsi="宋体" w:eastAsia="宋体" w:cs="Times New Roman"/>
          <w:b/>
          <w:color w:val="auto"/>
          <w:sz w:val="32"/>
          <w:szCs w:val="36"/>
          <w:highlight w:val="none"/>
          <w:lang w:val="en-US" w:eastAsia="zh-CN" w:bidi="ar-SA"/>
        </w:rPr>
        <w:t>评标办法</w:t>
      </w:r>
      <w:bookmarkEnd w:id="0"/>
      <w:bookmarkEnd w:id="1"/>
      <w:bookmarkEnd w:id="2"/>
    </w:p>
    <w:p w14:paraId="210F0A67">
      <w:pPr>
        <w:keepNext/>
        <w:widowControl w:val="0"/>
        <w:wordWrap w:val="0"/>
        <w:adjustRightInd w:val="0"/>
        <w:snapToGrid w:val="0"/>
        <w:spacing w:before="0" w:beforeAutospacing="0" w:after="120" w:afterLines="50" w:afterAutospacing="0" w:line="288" w:lineRule="auto"/>
        <w:ind w:firstLine="0" w:firstLineChars="0"/>
        <w:jc w:val="center"/>
        <w:outlineLvl w:val="3"/>
        <w:rPr>
          <w:rFonts w:hint="default"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评标办法前附表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4"/>
        <w:gridCol w:w="1629"/>
        <w:gridCol w:w="5520"/>
      </w:tblGrid>
      <w:tr w14:paraId="5525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1910" w:type="dxa"/>
            <w:gridSpan w:val="2"/>
            <w:shd w:val="clear" w:color="auto" w:fill="auto"/>
            <w:vAlign w:val="center"/>
          </w:tcPr>
          <w:p w14:paraId="020E86E2">
            <w:pPr>
              <w:widowControl w:val="0"/>
              <w:wordWrap w:val="0"/>
              <w:adjustRightInd w:val="0"/>
              <w:snapToGrid w:val="0"/>
              <w:jc w:val="center"/>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条款号</w:t>
            </w:r>
          </w:p>
        </w:tc>
        <w:tc>
          <w:tcPr>
            <w:tcW w:w="1629" w:type="dxa"/>
            <w:shd w:val="clear" w:color="auto" w:fill="auto"/>
            <w:vAlign w:val="center"/>
          </w:tcPr>
          <w:p w14:paraId="60514D3C">
            <w:pPr>
              <w:widowControl w:val="0"/>
              <w:wordWrap w:val="0"/>
              <w:adjustRightInd w:val="0"/>
              <w:snapToGrid w:val="0"/>
              <w:jc w:val="center"/>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评审因素</w:t>
            </w:r>
          </w:p>
        </w:tc>
        <w:tc>
          <w:tcPr>
            <w:tcW w:w="5520" w:type="dxa"/>
            <w:shd w:val="clear" w:color="auto" w:fill="auto"/>
            <w:vAlign w:val="center"/>
          </w:tcPr>
          <w:p w14:paraId="715394E0">
            <w:pPr>
              <w:widowControl w:val="0"/>
              <w:wordWrap w:val="0"/>
              <w:adjustRightInd w:val="0"/>
              <w:snapToGrid w:val="0"/>
              <w:jc w:val="center"/>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评审标准</w:t>
            </w:r>
          </w:p>
        </w:tc>
      </w:tr>
      <w:tr w14:paraId="6798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14:paraId="61B60893">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1064" w:type="dxa"/>
            <w:vMerge w:val="restart"/>
            <w:shd w:val="clear" w:color="auto" w:fill="auto"/>
            <w:vAlign w:val="center"/>
          </w:tcPr>
          <w:p w14:paraId="4784068C">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形式评审标准</w:t>
            </w:r>
          </w:p>
        </w:tc>
        <w:tc>
          <w:tcPr>
            <w:tcW w:w="1629" w:type="dxa"/>
            <w:shd w:val="clear" w:color="auto" w:fill="auto"/>
            <w:vAlign w:val="center"/>
          </w:tcPr>
          <w:p w14:paraId="2F9CA87E">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投标人名称</w:t>
            </w:r>
          </w:p>
        </w:tc>
        <w:tc>
          <w:tcPr>
            <w:tcW w:w="5520" w:type="dxa"/>
            <w:shd w:val="clear" w:color="auto" w:fill="auto"/>
            <w:vAlign w:val="center"/>
          </w:tcPr>
          <w:p w14:paraId="4A9ACA74">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与营业执照（或事业单位法人证书）一致。</w:t>
            </w:r>
          </w:p>
        </w:tc>
      </w:tr>
      <w:tr w14:paraId="2272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0183DD3C">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24568966">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070CFDB0">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签字盖章</w:t>
            </w:r>
          </w:p>
        </w:tc>
        <w:tc>
          <w:tcPr>
            <w:tcW w:w="5520" w:type="dxa"/>
            <w:shd w:val="clear" w:color="auto" w:fill="auto"/>
            <w:vAlign w:val="center"/>
          </w:tcPr>
          <w:p w14:paraId="1F2EC27A">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投标文件主要内容齐全，签字盖章符合招标文件规定。</w:t>
            </w:r>
          </w:p>
        </w:tc>
      </w:tr>
      <w:tr w14:paraId="6F35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6651987C">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72C61CA0">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2E64649C">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联合体投标人</w:t>
            </w:r>
          </w:p>
        </w:tc>
        <w:tc>
          <w:tcPr>
            <w:tcW w:w="5520" w:type="dxa"/>
            <w:shd w:val="clear" w:color="auto" w:fill="auto"/>
            <w:vAlign w:val="center"/>
          </w:tcPr>
          <w:p w14:paraId="476E8131">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14:paraId="0527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315B18AB">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5C8D16B1">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01C5B46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备选投标方案</w:t>
            </w:r>
          </w:p>
        </w:tc>
        <w:tc>
          <w:tcPr>
            <w:tcW w:w="5520" w:type="dxa"/>
            <w:shd w:val="clear" w:color="auto" w:fill="auto"/>
            <w:vAlign w:val="center"/>
          </w:tcPr>
          <w:p w14:paraId="2958F1CD">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不允许</w:t>
            </w:r>
          </w:p>
        </w:tc>
      </w:tr>
      <w:tr w14:paraId="36C7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42B0E268">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46D5D193">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65F92D0A">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投标文件格式</w:t>
            </w:r>
          </w:p>
        </w:tc>
        <w:tc>
          <w:tcPr>
            <w:tcW w:w="5520" w:type="dxa"/>
            <w:shd w:val="clear" w:color="auto" w:fill="auto"/>
            <w:vAlign w:val="center"/>
          </w:tcPr>
          <w:p w14:paraId="1557F584">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符合第六章“投标文件格式”的规定。</w:t>
            </w:r>
          </w:p>
        </w:tc>
      </w:tr>
      <w:tr w14:paraId="08E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14:paraId="4A0952D4">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1064" w:type="dxa"/>
            <w:vMerge w:val="restart"/>
            <w:shd w:val="clear" w:color="auto" w:fill="auto"/>
            <w:vAlign w:val="center"/>
          </w:tcPr>
          <w:p w14:paraId="029ECC6B">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响应性评审标准</w:t>
            </w:r>
          </w:p>
        </w:tc>
        <w:tc>
          <w:tcPr>
            <w:tcW w:w="1629" w:type="dxa"/>
            <w:shd w:val="clear" w:color="auto" w:fill="auto"/>
            <w:vAlign w:val="center"/>
          </w:tcPr>
          <w:p w14:paraId="54C6665D">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投标报价</w:t>
            </w:r>
          </w:p>
        </w:tc>
        <w:tc>
          <w:tcPr>
            <w:tcW w:w="5520" w:type="dxa"/>
            <w:shd w:val="clear" w:color="auto" w:fill="auto"/>
            <w:vAlign w:val="center"/>
          </w:tcPr>
          <w:p w14:paraId="2FF01408">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投标函上填写的投标报价不高于招标人公布的预算价。</w:t>
            </w:r>
          </w:p>
        </w:tc>
      </w:tr>
      <w:tr w14:paraId="402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52C82CC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0032AF27">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noWrap/>
            <w:vAlign w:val="center"/>
          </w:tcPr>
          <w:p w14:paraId="579EA0C7">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投标内容</w:t>
            </w:r>
          </w:p>
        </w:tc>
        <w:tc>
          <w:tcPr>
            <w:tcW w:w="5520" w:type="dxa"/>
            <w:shd w:val="clear" w:color="auto" w:fill="auto"/>
            <w:vAlign w:val="center"/>
          </w:tcPr>
          <w:p w14:paraId="5591FDFB">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14:paraId="436F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74B52ED6">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65D2AF4B">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5E9BAB48">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服务期限</w:t>
            </w:r>
          </w:p>
        </w:tc>
        <w:tc>
          <w:tcPr>
            <w:tcW w:w="5520" w:type="dxa"/>
            <w:shd w:val="clear" w:color="auto" w:fill="auto"/>
            <w:vAlign w:val="center"/>
          </w:tcPr>
          <w:p w14:paraId="1506DD99">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14:paraId="033D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6672C687">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5C370847">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6456076">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质量标准</w:t>
            </w:r>
          </w:p>
        </w:tc>
        <w:tc>
          <w:tcPr>
            <w:tcW w:w="5520" w:type="dxa"/>
            <w:shd w:val="clear" w:color="auto" w:fill="auto"/>
            <w:vAlign w:val="center"/>
          </w:tcPr>
          <w:p w14:paraId="6E92727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14:paraId="2F8D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0D72052C">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6A3D111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3C4C03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投标有效期</w:t>
            </w:r>
          </w:p>
        </w:tc>
        <w:tc>
          <w:tcPr>
            <w:tcW w:w="5520" w:type="dxa"/>
            <w:shd w:val="clear" w:color="auto" w:fill="auto"/>
            <w:vAlign w:val="center"/>
          </w:tcPr>
          <w:p w14:paraId="6E0E2424">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符合招标文件要求</w:t>
            </w:r>
          </w:p>
        </w:tc>
      </w:tr>
      <w:tr w14:paraId="3729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25AB9A13">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5709AC45">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AD9068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w:t>
            </w:r>
          </w:p>
        </w:tc>
        <w:tc>
          <w:tcPr>
            <w:tcW w:w="5520" w:type="dxa"/>
            <w:shd w:val="clear" w:color="auto" w:fill="auto"/>
            <w:vAlign w:val="center"/>
          </w:tcPr>
          <w:p w14:paraId="7D1764C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投标人不得进行分包、不存在串通投标情形等</w:t>
            </w:r>
          </w:p>
        </w:tc>
      </w:tr>
      <w:tr w14:paraId="44BD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14:paraId="24EDDA3D">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1064" w:type="dxa"/>
            <w:vMerge w:val="restart"/>
            <w:shd w:val="clear" w:color="auto" w:fill="auto"/>
            <w:vAlign w:val="center"/>
          </w:tcPr>
          <w:p w14:paraId="4B5B066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资格评审标准</w:t>
            </w:r>
          </w:p>
        </w:tc>
        <w:tc>
          <w:tcPr>
            <w:tcW w:w="1629" w:type="dxa"/>
            <w:shd w:val="clear" w:color="auto" w:fill="auto"/>
            <w:vAlign w:val="center"/>
          </w:tcPr>
          <w:p w14:paraId="0C4F6F15">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营业执照或事业单位法人证书</w:t>
            </w:r>
          </w:p>
        </w:tc>
        <w:tc>
          <w:tcPr>
            <w:tcW w:w="5520" w:type="dxa"/>
            <w:shd w:val="clear" w:color="auto" w:fill="auto"/>
            <w:vAlign w:val="center"/>
          </w:tcPr>
          <w:p w14:paraId="5D072D0A">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ascii="宋体" w:hAnsi="宋体" w:eastAsia="宋体" w:cs="宋体"/>
                <w:color w:val="auto"/>
                <w:kern w:val="2"/>
                <w:sz w:val="22"/>
                <w:szCs w:val="22"/>
                <w:highlight w:val="none"/>
                <w:lang w:val="en-US" w:eastAsia="zh-CN" w:bidi="ar-SA"/>
              </w:rPr>
              <w:t>3.2项规定</w:t>
            </w:r>
          </w:p>
        </w:tc>
      </w:tr>
      <w:tr w14:paraId="59BF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38D47CF4">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2650EFD6">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5556E6AA">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资质证书</w:t>
            </w:r>
          </w:p>
        </w:tc>
        <w:tc>
          <w:tcPr>
            <w:tcW w:w="5520" w:type="dxa"/>
            <w:shd w:val="clear" w:color="auto" w:fill="auto"/>
            <w:vAlign w:val="center"/>
          </w:tcPr>
          <w:p w14:paraId="2E8D0889">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ascii="宋体" w:hAnsi="宋体" w:eastAsia="宋体" w:cs="宋体"/>
                <w:color w:val="auto"/>
                <w:kern w:val="2"/>
                <w:sz w:val="22"/>
                <w:szCs w:val="22"/>
                <w:highlight w:val="none"/>
                <w:lang w:val="en-US" w:eastAsia="zh-CN" w:bidi="ar-SA"/>
              </w:rPr>
              <w:t>3.3项规定</w:t>
            </w:r>
          </w:p>
        </w:tc>
      </w:tr>
      <w:tr w14:paraId="4AC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13B43765">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7CF4BD28">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1715287">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联合体投标</w:t>
            </w:r>
          </w:p>
        </w:tc>
        <w:tc>
          <w:tcPr>
            <w:tcW w:w="5520" w:type="dxa"/>
            <w:shd w:val="clear" w:color="auto" w:fill="auto"/>
            <w:vAlign w:val="center"/>
          </w:tcPr>
          <w:p w14:paraId="77074DB3">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本项目不接受联合体投标，符合第一章第</w:t>
            </w:r>
            <w:r>
              <w:rPr>
                <w:rFonts w:ascii="宋体" w:hAnsi="宋体" w:eastAsia="宋体" w:cs="宋体"/>
                <w:color w:val="auto"/>
                <w:kern w:val="2"/>
                <w:sz w:val="22"/>
                <w:szCs w:val="22"/>
                <w:highlight w:val="none"/>
                <w:lang w:val="en-US" w:eastAsia="zh-CN" w:bidi="ar-SA"/>
              </w:rPr>
              <w:t>3.4项规定。</w:t>
            </w:r>
          </w:p>
        </w:tc>
      </w:tr>
      <w:tr w14:paraId="6FC7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123F58F0">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2343B8B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78115668">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其他要求</w:t>
            </w:r>
          </w:p>
        </w:tc>
        <w:tc>
          <w:tcPr>
            <w:tcW w:w="5520" w:type="dxa"/>
            <w:shd w:val="clear" w:color="auto" w:fill="auto"/>
            <w:vAlign w:val="center"/>
          </w:tcPr>
          <w:p w14:paraId="4C2CDA80">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符合第一章第</w:t>
            </w:r>
            <w:r>
              <w:rPr>
                <w:rFonts w:ascii="宋体" w:hAnsi="宋体" w:eastAsia="宋体" w:cs="宋体"/>
                <w:color w:val="auto"/>
                <w:kern w:val="2"/>
                <w:sz w:val="22"/>
                <w:szCs w:val="22"/>
                <w:highlight w:val="none"/>
                <w:lang w:val="en-US" w:eastAsia="zh-CN" w:bidi="ar-SA"/>
              </w:rPr>
              <w:t>3.5项规定</w:t>
            </w:r>
          </w:p>
        </w:tc>
      </w:tr>
      <w:tr w14:paraId="6724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10" w:type="dxa"/>
            <w:gridSpan w:val="2"/>
            <w:shd w:val="clear" w:color="auto" w:fill="auto"/>
            <w:vAlign w:val="center"/>
          </w:tcPr>
          <w:p w14:paraId="76036D5A">
            <w:pPr>
              <w:widowControl w:val="0"/>
              <w:wordWrap w:val="0"/>
              <w:adjustRightInd w:val="0"/>
              <w:snapToGrid w:val="0"/>
              <w:jc w:val="center"/>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条款号</w:t>
            </w:r>
          </w:p>
        </w:tc>
        <w:tc>
          <w:tcPr>
            <w:tcW w:w="1629" w:type="dxa"/>
            <w:shd w:val="clear" w:color="auto" w:fill="auto"/>
            <w:vAlign w:val="center"/>
          </w:tcPr>
          <w:p w14:paraId="5739D621">
            <w:pPr>
              <w:widowControl w:val="0"/>
              <w:wordWrap w:val="0"/>
              <w:adjustRightInd w:val="0"/>
              <w:snapToGrid w:val="0"/>
              <w:jc w:val="center"/>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评审因素</w:t>
            </w:r>
          </w:p>
        </w:tc>
        <w:tc>
          <w:tcPr>
            <w:tcW w:w="5520" w:type="dxa"/>
            <w:shd w:val="clear" w:color="auto" w:fill="auto"/>
            <w:vAlign w:val="center"/>
          </w:tcPr>
          <w:p w14:paraId="6937EF46">
            <w:pPr>
              <w:widowControl w:val="0"/>
              <w:wordWrap w:val="0"/>
              <w:adjustRightInd w:val="0"/>
              <w:snapToGrid w:val="0"/>
              <w:jc w:val="center"/>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评审标准</w:t>
            </w:r>
          </w:p>
        </w:tc>
      </w:tr>
      <w:tr w14:paraId="17B7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shd w:val="clear" w:color="auto" w:fill="auto"/>
            <w:vAlign w:val="center"/>
          </w:tcPr>
          <w:p w14:paraId="41A04C92">
            <w:pPr>
              <w:widowControl w:val="0"/>
              <w:wordWrap w:val="0"/>
              <w:adjustRightInd w:val="0"/>
              <w:snapToGrid w:val="0"/>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2.2.1</w:t>
            </w:r>
          </w:p>
        </w:tc>
        <w:tc>
          <w:tcPr>
            <w:tcW w:w="1064" w:type="dxa"/>
            <w:vMerge w:val="restart"/>
            <w:shd w:val="clear" w:color="auto" w:fill="auto"/>
            <w:vAlign w:val="center"/>
          </w:tcPr>
          <w:p w14:paraId="7DFDCBAE">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详细评审（1</w:t>
            </w:r>
            <w:r>
              <w:rPr>
                <w:rFonts w:ascii="宋体" w:hAnsi="宋体" w:eastAsia="宋体" w:cs="宋体"/>
                <w:color w:val="auto"/>
                <w:kern w:val="2"/>
                <w:sz w:val="22"/>
                <w:szCs w:val="22"/>
                <w:highlight w:val="none"/>
                <w:lang w:val="en-US" w:eastAsia="zh-CN" w:bidi="ar-SA"/>
              </w:rPr>
              <w:t>00</w:t>
            </w:r>
            <w:r>
              <w:rPr>
                <w:rFonts w:hint="eastAsia" w:ascii="宋体" w:hAnsi="宋体" w:eastAsia="宋体" w:cs="宋体"/>
                <w:color w:val="auto"/>
                <w:kern w:val="2"/>
                <w:sz w:val="22"/>
                <w:szCs w:val="22"/>
                <w:highlight w:val="none"/>
                <w:lang w:val="en-US" w:eastAsia="zh-CN" w:bidi="ar-SA"/>
              </w:rPr>
              <w:t>分）</w:t>
            </w:r>
          </w:p>
        </w:tc>
        <w:tc>
          <w:tcPr>
            <w:tcW w:w="1629" w:type="dxa"/>
            <w:shd w:val="clear" w:color="auto" w:fill="auto"/>
            <w:vAlign w:val="center"/>
          </w:tcPr>
          <w:p w14:paraId="10450C4F">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质量管理水平（</w:t>
            </w:r>
            <w:r>
              <w:rPr>
                <w:rFonts w:ascii="宋体" w:hAnsi="宋体" w:eastAsia="宋体" w:cs="Times New Roman"/>
                <w:color w:val="auto"/>
                <w:kern w:val="2"/>
                <w:sz w:val="22"/>
                <w:szCs w:val="22"/>
                <w:highlight w:val="none"/>
                <w:lang w:val="en-US" w:eastAsia="zh-CN" w:bidi="ar-SA"/>
              </w:rPr>
              <w:t>40分）</w:t>
            </w:r>
          </w:p>
        </w:tc>
        <w:tc>
          <w:tcPr>
            <w:tcW w:w="5520" w:type="dxa"/>
            <w:shd w:val="clear" w:color="auto" w:fill="auto"/>
            <w:vAlign w:val="center"/>
          </w:tcPr>
          <w:p w14:paraId="0C7996B0">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评审投标人针对本项目的质量管理制度及实施情况，包括项目咨询、意见分歧解决、项目质量复核、项目质量检查、质量管理缺陷识别与整改等方面的政策与程序。</w:t>
            </w:r>
          </w:p>
          <w:p w14:paraId="2F969B28">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根据投标人编制的质量管理制度及实施情况的规范性、完整性、适用性等方面进行评审：</w:t>
            </w:r>
          </w:p>
          <w:p w14:paraId="28613128">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ascii="宋体" w:hAnsi="宋体" w:eastAsia="宋体" w:cs="Times New Roman"/>
                <w:color w:val="auto"/>
                <w:kern w:val="2"/>
                <w:sz w:val="22"/>
                <w:szCs w:val="22"/>
                <w:highlight w:val="none"/>
                <w:lang w:val="en-US" w:eastAsia="zh-CN" w:bidi="ar-SA"/>
              </w:rPr>
              <w:t>40</w:t>
            </w:r>
            <w:r>
              <w:rPr>
                <w:rFonts w:hint="eastAsia" w:ascii="宋体" w:hAnsi="宋体" w:eastAsia="宋体" w:cs="Times New Roman"/>
                <w:color w:val="auto"/>
                <w:kern w:val="2"/>
                <w:sz w:val="22"/>
                <w:szCs w:val="22"/>
                <w:highlight w:val="none"/>
                <w:lang w:val="en-US" w:eastAsia="zh-CN" w:bidi="ar-SA"/>
              </w:rPr>
              <w:t>分；良好，得</w:t>
            </w:r>
            <w:r>
              <w:rPr>
                <w:rFonts w:ascii="宋体" w:hAnsi="宋体" w:eastAsia="宋体" w:cs="Times New Roman"/>
                <w:color w:val="auto"/>
                <w:kern w:val="2"/>
                <w:sz w:val="22"/>
                <w:szCs w:val="22"/>
                <w:highlight w:val="none"/>
                <w:lang w:val="en-US" w:eastAsia="zh-CN" w:bidi="ar-SA"/>
              </w:rPr>
              <w:t>25</w:t>
            </w:r>
            <w:r>
              <w:rPr>
                <w:rFonts w:hint="eastAsia" w:ascii="宋体" w:hAnsi="宋体" w:eastAsia="宋体" w:cs="Times New Roman"/>
                <w:color w:val="auto"/>
                <w:kern w:val="2"/>
                <w:sz w:val="22"/>
                <w:szCs w:val="22"/>
                <w:highlight w:val="none"/>
                <w:lang w:val="en-US" w:eastAsia="zh-CN" w:bidi="ar-SA"/>
              </w:rPr>
              <w:t>分；一般，得</w:t>
            </w:r>
            <w:r>
              <w:rPr>
                <w:rFonts w:ascii="宋体" w:hAnsi="宋体" w:eastAsia="宋体" w:cs="Times New Roman"/>
                <w:color w:val="auto"/>
                <w:kern w:val="2"/>
                <w:sz w:val="22"/>
                <w:szCs w:val="22"/>
                <w:highlight w:val="none"/>
                <w:lang w:val="en-US" w:eastAsia="zh-CN" w:bidi="ar-SA"/>
              </w:rPr>
              <w:t>10</w:t>
            </w:r>
            <w:r>
              <w:rPr>
                <w:rFonts w:hint="eastAsia" w:ascii="宋体" w:hAnsi="宋体" w:eastAsia="宋体" w:cs="Times New Roman"/>
                <w:color w:val="auto"/>
                <w:kern w:val="2"/>
                <w:sz w:val="22"/>
                <w:szCs w:val="22"/>
                <w:highlight w:val="none"/>
                <w:lang w:val="en-US" w:eastAsia="zh-CN" w:bidi="ar-SA"/>
              </w:rPr>
              <w:t>分；较差或无得</w:t>
            </w:r>
            <w:r>
              <w:rPr>
                <w:rFonts w:ascii="宋体" w:hAnsi="宋体" w:eastAsia="宋体" w:cs="Times New Roman"/>
                <w:color w:val="auto"/>
                <w:kern w:val="2"/>
                <w:sz w:val="22"/>
                <w:szCs w:val="22"/>
                <w:highlight w:val="none"/>
                <w:lang w:val="en-US" w:eastAsia="zh-CN" w:bidi="ar-SA"/>
              </w:rPr>
              <w:t>0分。</w:t>
            </w:r>
          </w:p>
        </w:tc>
      </w:tr>
      <w:tr w14:paraId="02DE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48A60919">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24B7F154">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10673217">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工作方案</w:t>
            </w:r>
          </w:p>
          <w:p w14:paraId="3FB1F6E9">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ascii="宋体" w:hAnsi="宋体" w:eastAsia="宋体" w:cs="Times New Roman"/>
                <w:color w:val="auto"/>
                <w:kern w:val="2"/>
                <w:sz w:val="22"/>
                <w:szCs w:val="22"/>
                <w:highlight w:val="none"/>
                <w:lang w:val="en-US" w:eastAsia="zh-CN" w:bidi="ar-SA"/>
              </w:rPr>
              <w:t>5分）</w:t>
            </w:r>
          </w:p>
        </w:tc>
        <w:tc>
          <w:tcPr>
            <w:tcW w:w="5520" w:type="dxa"/>
            <w:shd w:val="clear" w:color="auto" w:fill="auto"/>
            <w:vAlign w:val="center"/>
          </w:tcPr>
          <w:p w14:paraId="64D79D07">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评审投标人提供的工作方案，工作方案的内容包括但不限于：明确审计要求、按时保质完成审计工作（包括但不仅限于审计报告、管理建议书）等。</w:t>
            </w:r>
          </w:p>
          <w:p w14:paraId="3EB00A5B">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根据投标人编制的工作方案规范性、可行性、完整性进行评审：</w:t>
            </w:r>
          </w:p>
          <w:p w14:paraId="295A28DB">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ascii="宋体" w:hAnsi="宋体" w:eastAsia="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分；良好，得</w:t>
            </w:r>
            <w:r>
              <w:rPr>
                <w:rFonts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分；一般，得</w:t>
            </w:r>
            <w:r>
              <w:rPr>
                <w:rFonts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ascii="宋体" w:hAnsi="宋体" w:eastAsia="宋体" w:cs="Times New Roman"/>
                <w:color w:val="auto"/>
                <w:kern w:val="2"/>
                <w:sz w:val="22"/>
                <w:szCs w:val="22"/>
                <w:highlight w:val="none"/>
                <w:lang w:val="en-US" w:eastAsia="zh-CN" w:bidi="ar-SA"/>
              </w:rPr>
              <w:t>0分。</w:t>
            </w:r>
          </w:p>
        </w:tc>
      </w:tr>
      <w:tr w14:paraId="35E0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0EEE721C">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6C9C5F61">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60409D1">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信息安全管理（</w:t>
            </w:r>
            <w:r>
              <w:rPr>
                <w:rFonts w:ascii="宋体" w:hAnsi="宋体" w:eastAsia="宋体" w:cs="Times New Roman"/>
                <w:color w:val="auto"/>
                <w:kern w:val="2"/>
                <w:sz w:val="22"/>
                <w:szCs w:val="22"/>
                <w:highlight w:val="none"/>
                <w:lang w:val="en-US" w:eastAsia="zh-CN" w:bidi="ar-SA"/>
              </w:rPr>
              <w:t>4分）</w:t>
            </w:r>
          </w:p>
        </w:tc>
        <w:tc>
          <w:tcPr>
            <w:tcW w:w="5520" w:type="dxa"/>
            <w:shd w:val="clear" w:color="auto" w:fill="auto"/>
            <w:vAlign w:val="center"/>
          </w:tcPr>
          <w:p w14:paraId="0BB84184">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评审投标人的信息安全管理相关制度、安全保护责任和要求、资料涉密敏感信息的管控、防范信息泄露风险的措施。</w:t>
            </w:r>
          </w:p>
          <w:p w14:paraId="36B61F8A">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根据投标人的信息安全管理工作的合理性、可行性、完整性进行评审：</w:t>
            </w:r>
          </w:p>
          <w:p w14:paraId="23F98140">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ascii="宋体" w:hAnsi="宋体" w:eastAsia="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分；良好，得</w:t>
            </w:r>
            <w:r>
              <w:rPr>
                <w:rFonts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ascii="宋体" w:hAnsi="宋体" w:eastAsia="宋体" w:cs="Times New Roman"/>
                <w:color w:val="auto"/>
                <w:kern w:val="2"/>
                <w:sz w:val="22"/>
                <w:szCs w:val="22"/>
                <w:highlight w:val="none"/>
                <w:lang w:val="en-US" w:eastAsia="zh-CN" w:bidi="ar-SA"/>
              </w:rPr>
              <w:t>0分。</w:t>
            </w:r>
          </w:p>
        </w:tc>
      </w:tr>
      <w:tr w14:paraId="2CA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12DE1469">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6CC1B2F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5DFACD99">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风险承担能力水平（</w:t>
            </w:r>
            <w:r>
              <w:rPr>
                <w:rFonts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14:paraId="5E643AF8">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评审投标人风险保障机制建立情况，包括职业责任保险制度建设执行或风险基金计提情况，风险防范能力等。</w:t>
            </w:r>
          </w:p>
          <w:p w14:paraId="46372106">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根据投标人风险承担能力水平的完整性进行评审：</w:t>
            </w:r>
          </w:p>
          <w:p w14:paraId="79AE3EC5">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ascii="宋体" w:hAnsi="宋体" w:eastAsia="宋体" w:cs="Times New Roman"/>
                <w:color w:val="auto"/>
                <w:kern w:val="2"/>
                <w:sz w:val="22"/>
                <w:szCs w:val="22"/>
                <w:highlight w:val="none"/>
                <w:lang w:val="en-US" w:eastAsia="zh-CN" w:bidi="ar-SA"/>
              </w:rPr>
              <w:t>0分。</w:t>
            </w:r>
          </w:p>
        </w:tc>
      </w:tr>
      <w:tr w14:paraId="2B0C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16C9E46D">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5A4CF0EE">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54C3B14D">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合理化建议（</w:t>
            </w:r>
            <w:r>
              <w:rPr>
                <w:rFonts w:ascii="宋体" w:hAnsi="宋体" w:eastAsia="宋体" w:cs="Times New Roman"/>
                <w:color w:val="auto"/>
                <w:kern w:val="2"/>
                <w:sz w:val="22"/>
                <w:szCs w:val="22"/>
                <w:highlight w:val="none"/>
                <w:lang w:val="en-US" w:eastAsia="zh-CN" w:bidi="ar-SA"/>
              </w:rPr>
              <w:t>3分）</w:t>
            </w:r>
          </w:p>
        </w:tc>
        <w:tc>
          <w:tcPr>
            <w:tcW w:w="5520" w:type="dxa"/>
            <w:shd w:val="clear" w:color="auto" w:fill="auto"/>
            <w:vAlign w:val="center"/>
          </w:tcPr>
          <w:p w14:paraId="6E7EBF46">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投标人结合本项目专项审计服务需求，提出的服务优化、质量保障、沟通协同、效率提升、助力企业完善内控等方面的合理化建议。</w:t>
            </w:r>
          </w:p>
          <w:p w14:paraId="0F7CE26F">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根据投标人提出建议的合理性、针对性、可落地性方面进行评审：</w:t>
            </w:r>
          </w:p>
          <w:p w14:paraId="7275C4D1">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优，得</w:t>
            </w:r>
            <w:r>
              <w:rPr>
                <w:rFonts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en-US" w:eastAsia="zh-CN" w:bidi="ar-SA"/>
              </w:rPr>
              <w:t>分；良好，得</w:t>
            </w:r>
            <w:r>
              <w:rPr>
                <w:rFonts w:ascii="宋体" w:hAnsi="宋体" w:eastAsia="宋体" w:cs="Times New Roman"/>
                <w:color w:val="auto"/>
                <w:kern w:val="2"/>
                <w:sz w:val="22"/>
                <w:szCs w:val="22"/>
                <w:highlight w:val="none"/>
                <w:lang w:val="en-US" w:eastAsia="zh-CN" w:bidi="ar-SA"/>
              </w:rPr>
              <w:t>2</w:t>
            </w:r>
            <w:r>
              <w:rPr>
                <w:rFonts w:hint="eastAsia" w:ascii="宋体" w:hAnsi="宋体" w:eastAsia="宋体" w:cs="Times New Roman"/>
                <w:color w:val="auto"/>
                <w:kern w:val="2"/>
                <w:sz w:val="22"/>
                <w:szCs w:val="22"/>
                <w:highlight w:val="none"/>
                <w:lang w:val="en-US" w:eastAsia="zh-CN" w:bidi="ar-SA"/>
              </w:rPr>
              <w:t>分；一般，得</w:t>
            </w:r>
            <w:r>
              <w:rPr>
                <w:rFonts w:ascii="宋体" w:hAnsi="宋体" w:eastAsia="宋体" w:cs="Times New Roman"/>
                <w:color w:val="auto"/>
                <w:kern w:val="2"/>
                <w:sz w:val="22"/>
                <w:szCs w:val="22"/>
                <w:highlight w:val="none"/>
                <w:lang w:val="en-US" w:eastAsia="zh-CN" w:bidi="ar-SA"/>
              </w:rPr>
              <w:t>1</w:t>
            </w:r>
            <w:r>
              <w:rPr>
                <w:rFonts w:hint="eastAsia" w:ascii="宋体" w:hAnsi="宋体" w:eastAsia="宋体" w:cs="Times New Roman"/>
                <w:color w:val="auto"/>
                <w:kern w:val="2"/>
                <w:sz w:val="22"/>
                <w:szCs w:val="22"/>
                <w:highlight w:val="none"/>
                <w:lang w:val="en-US" w:eastAsia="zh-CN" w:bidi="ar-SA"/>
              </w:rPr>
              <w:t>分；较差或无得</w:t>
            </w:r>
            <w:r>
              <w:rPr>
                <w:rFonts w:ascii="宋体" w:hAnsi="宋体" w:eastAsia="宋体" w:cs="Times New Roman"/>
                <w:color w:val="auto"/>
                <w:kern w:val="2"/>
                <w:sz w:val="22"/>
                <w:szCs w:val="22"/>
                <w:highlight w:val="none"/>
                <w:lang w:val="en-US" w:eastAsia="zh-CN" w:bidi="ar-SA"/>
              </w:rPr>
              <w:t>0分。</w:t>
            </w:r>
          </w:p>
        </w:tc>
      </w:tr>
      <w:tr w14:paraId="4280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46" w:type="dxa"/>
            <w:vMerge w:val="continue"/>
            <w:shd w:val="clear" w:color="auto" w:fill="auto"/>
            <w:vAlign w:val="center"/>
          </w:tcPr>
          <w:p w14:paraId="48D337E6">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047B9768">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14A7F312">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企业认证（3分）</w:t>
            </w:r>
          </w:p>
        </w:tc>
        <w:tc>
          <w:tcPr>
            <w:tcW w:w="5520" w:type="dxa"/>
            <w:shd w:val="clear" w:color="auto" w:fill="auto"/>
            <w:vAlign w:val="center"/>
          </w:tcPr>
          <w:p w14:paraId="1DC1DE7D">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投标人具有有效的质量管理体系认证、环境管理体系认证、职业健康安全管理体系认证，每提供一项得1分，本项最高得3分。</w:t>
            </w:r>
          </w:p>
          <w:p w14:paraId="1FF31918">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注：需提供有效期内的认证证书扫描件。</w:t>
            </w:r>
          </w:p>
        </w:tc>
      </w:tr>
      <w:tr w14:paraId="678B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44AA4E3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4E2D17D0">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0214FA64">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企业业绩</w:t>
            </w:r>
          </w:p>
          <w:p w14:paraId="32F7783B">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w:t>
            </w:r>
            <w:r>
              <w:rPr>
                <w:rFonts w:ascii="宋体" w:hAnsi="宋体" w:eastAsia="宋体" w:cs="Times New Roman"/>
                <w:color w:val="auto"/>
                <w:kern w:val="2"/>
                <w:sz w:val="22"/>
                <w:szCs w:val="22"/>
                <w:highlight w:val="none"/>
                <w:lang w:val="en-US" w:eastAsia="zh-CN" w:bidi="ar-SA"/>
              </w:rPr>
              <w:t>分）</w:t>
            </w:r>
          </w:p>
        </w:tc>
        <w:tc>
          <w:tcPr>
            <w:tcW w:w="5520" w:type="dxa"/>
            <w:shd w:val="clear" w:color="auto" w:fill="auto"/>
            <w:vAlign w:val="center"/>
          </w:tcPr>
          <w:p w14:paraId="2E101D86">
            <w:pPr>
              <w:widowControl w:val="0"/>
              <w:wordWrap w:val="0"/>
              <w:adjustRightInd w:val="0"/>
              <w:snapToGrid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根据投标人自2021年1月1日至投标截止时间止，完成过审计服务项目业绩情况进行评审：每一项得5分，最高得15分。</w:t>
            </w:r>
          </w:p>
          <w:p w14:paraId="05494159">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注：须提供</w:t>
            </w:r>
          </w:p>
          <w:p w14:paraId="4A63B92C">
            <w:pPr>
              <w:widowControl w:val="0"/>
              <w:wordWrap w:val="0"/>
              <w:adjustRightInd w:val="0"/>
              <w:snapToGrid w:val="0"/>
              <w:ind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（1）业绩相关合同或业务约定书关键页复印件（至少包含服务内容页、金额页、签订时间页、盖章签署页）</w:t>
            </w:r>
          </w:p>
          <w:p w14:paraId="5ACC37F6">
            <w:pPr>
              <w:widowControl w:val="0"/>
              <w:wordWrap w:val="0"/>
              <w:adjustRightInd w:val="0"/>
              <w:snapToGrid w:val="0"/>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（2）时间以合同或业务约定书上的签订日期为准。</w:t>
            </w:r>
          </w:p>
        </w:tc>
      </w:tr>
      <w:tr w14:paraId="7159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46" w:type="dxa"/>
            <w:vMerge w:val="continue"/>
            <w:shd w:val="clear" w:color="auto" w:fill="auto"/>
            <w:vAlign w:val="center"/>
          </w:tcPr>
          <w:p w14:paraId="4A75759F">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04D0D6BA">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2198240">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项目负责人水平（6分）</w:t>
            </w:r>
          </w:p>
        </w:tc>
        <w:tc>
          <w:tcPr>
            <w:tcW w:w="5520" w:type="dxa"/>
            <w:shd w:val="clear" w:color="auto" w:fill="auto"/>
            <w:vAlign w:val="center"/>
          </w:tcPr>
          <w:p w14:paraId="0060ECCF">
            <w:pPr>
              <w:widowControl w:val="0"/>
              <w:wordWrap w:val="0"/>
              <w:adjustRightInd w:val="0"/>
              <w:snapToGrid w:val="0"/>
              <w:ind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（1）项目负责人具有审计、财务会计、经济类高级（或以上）职称的，得2分；其他不得分。本小项最高得2分。</w:t>
            </w:r>
          </w:p>
          <w:p w14:paraId="3CE5C2BC">
            <w:pPr>
              <w:widowControl w:val="0"/>
              <w:wordWrap w:val="0"/>
              <w:adjustRightInd w:val="0"/>
              <w:snapToGrid w:val="0"/>
              <w:ind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w:t>
            </w:r>
            <w:r>
              <w:rPr>
                <w:rFonts w:hint="eastAsia" w:ascii="宋体" w:hAnsi="宋体" w:eastAsia="宋体" w:cs="Times New Roman"/>
                <w:color w:val="auto"/>
                <w:kern w:val="2"/>
                <w:sz w:val="22"/>
                <w:szCs w:val="22"/>
                <w:highlight w:val="none"/>
                <w:lang w:val="en-US" w:eastAsia="zh-CN" w:bidi="ar-SA"/>
              </w:rPr>
              <w:t>2</w:t>
            </w:r>
            <w:r>
              <w:rPr>
                <w:rFonts w:hint="default" w:ascii="宋体" w:hAnsi="宋体" w:eastAsia="宋体" w:cs="Times New Roman"/>
                <w:color w:val="auto"/>
                <w:kern w:val="2"/>
                <w:sz w:val="22"/>
                <w:szCs w:val="22"/>
                <w:highlight w:val="none"/>
                <w:lang w:val="en-US" w:eastAsia="zh-CN" w:bidi="ar-SA"/>
              </w:rPr>
              <w:t>）自2021年1月1日至投标截止时间止</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以项目负责人身份主持过经济责任审计、物业类审计等领域的项目</w:t>
            </w:r>
            <w:r>
              <w:rPr>
                <w:rFonts w:hint="eastAsia" w:ascii="宋体" w:hAnsi="宋体" w:eastAsia="宋体" w:cs="Times New Roman"/>
                <w:color w:val="auto"/>
                <w:kern w:val="2"/>
                <w:sz w:val="22"/>
                <w:szCs w:val="22"/>
                <w:highlight w:val="none"/>
                <w:lang w:val="en-US" w:eastAsia="zh-CN" w:bidi="ar-SA"/>
              </w:rPr>
              <w:t>，</w:t>
            </w:r>
            <w:r>
              <w:rPr>
                <w:rFonts w:hint="default" w:ascii="宋体" w:hAnsi="宋体" w:eastAsia="宋体" w:cs="Times New Roman"/>
                <w:color w:val="auto"/>
                <w:kern w:val="2"/>
                <w:sz w:val="22"/>
                <w:szCs w:val="22"/>
                <w:highlight w:val="none"/>
                <w:lang w:val="en-US" w:eastAsia="zh-CN" w:bidi="ar-SA"/>
              </w:rPr>
              <w:t>每项得1分，本小项最高得</w:t>
            </w:r>
            <w:r>
              <w:rPr>
                <w:rFonts w:hint="eastAsia" w:ascii="宋体" w:hAnsi="宋体" w:eastAsia="宋体" w:cs="Times New Roman"/>
                <w:color w:val="auto"/>
                <w:kern w:val="2"/>
                <w:sz w:val="22"/>
                <w:szCs w:val="22"/>
                <w:highlight w:val="none"/>
                <w:lang w:val="en-US" w:eastAsia="zh-CN" w:bidi="ar-SA"/>
              </w:rPr>
              <w:t>4</w:t>
            </w:r>
            <w:r>
              <w:rPr>
                <w:rFonts w:hint="default" w:ascii="宋体" w:hAnsi="宋体" w:eastAsia="宋体" w:cs="Times New Roman"/>
                <w:color w:val="auto"/>
                <w:kern w:val="2"/>
                <w:sz w:val="22"/>
                <w:szCs w:val="22"/>
                <w:highlight w:val="none"/>
                <w:lang w:val="en-US" w:eastAsia="zh-CN" w:bidi="ar-SA"/>
              </w:rPr>
              <w:t>分。</w:t>
            </w:r>
          </w:p>
          <w:p w14:paraId="33146088">
            <w:pPr>
              <w:widowControl w:val="0"/>
              <w:wordWrap w:val="0"/>
              <w:adjustRightInd w:val="0"/>
              <w:snapToGrid w:val="0"/>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注：须提供</w:t>
            </w:r>
          </w:p>
          <w:p w14:paraId="5CBC6482">
            <w:pPr>
              <w:widowControl w:val="0"/>
              <w:wordWrap w:val="0"/>
              <w:adjustRightInd w:val="0"/>
              <w:snapToGrid w:val="0"/>
              <w:ind w:firstLine="440" w:firstLineChars="20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（1）职称证书复印件；</w:t>
            </w:r>
          </w:p>
          <w:p w14:paraId="3BCE92D8">
            <w:pPr>
              <w:widowControl w:val="0"/>
              <w:wordWrap w:val="0"/>
              <w:adjustRightInd w:val="0"/>
              <w:snapToGrid w:val="0"/>
              <w:ind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（2）业绩相关合同或业务约定书关键页复印件（至少包含服务内容页、项目负责人、签订时间页、盖章签署页）</w:t>
            </w:r>
          </w:p>
        </w:tc>
      </w:tr>
      <w:tr w14:paraId="7056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846" w:type="dxa"/>
            <w:vMerge w:val="continue"/>
            <w:shd w:val="clear" w:color="auto" w:fill="auto"/>
            <w:vAlign w:val="center"/>
          </w:tcPr>
          <w:p w14:paraId="4F638F0D">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0953C1D8">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4EFC2917">
            <w:pPr>
              <w:widowControl w:val="0"/>
              <w:wordWrap w:val="0"/>
              <w:adjustRightInd w:val="0"/>
              <w:snapToGrid w:val="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其他服务本项目人员（项目负责人除外）（6分）</w:t>
            </w:r>
          </w:p>
        </w:tc>
        <w:tc>
          <w:tcPr>
            <w:tcW w:w="5520" w:type="dxa"/>
            <w:shd w:val="clear" w:color="auto" w:fill="auto"/>
            <w:vAlign w:val="center"/>
          </w:tcPr>
          <w:p w14:paraId="36FFDE53">
            <w:pPr>
              <w:widowControl w:val="0"/>
              <w:wordWrap w:val="0"/>
              <w:adjustRightInd w:val="0"/>
              <w:snapToGrid w:val="0"/>
              <w:ind w:firstLine="440" w:firstLineChars="20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其他服务本项目人员中，具有注册会计师的，每人得</w:t>
            </w:r>
            <w:r>
              <w:rPr>
                <w:rFonts w:hint="eastAsia" w:ascii="宋体" w:hAnsi="宋体" w:eastAsia="宋体" w:cs="Times New Roman"/>
                <w:color w:val="auto"/>
                <w:kern w:val="2"/>
                <w:sz w:val="22"/>
                <w:szCs w:val="22"/>
                <w:highlight w:val="none"/>
                <w:lang w:val="en-US" w:eastAsia="zh-CN" w:bidi="ar-SA"/>
              </w:rPr>
              <w:t>3</w:t>
            </w:r>
            <w:r>
              <w:rPr>
                <w:rFonts w:hint="default" w:ascii="宋体" w:hAnsi="宋体" w:eastAsia="宋体" w:cs="Times New Roman"/>
                <w:color w:val="auto"/>
                <w:kern w:val="2"/>
                <w:sz w:val="22"/>
                <w:szCs w:val="22"/>
                <w:highlight w:val="none"/>
                <w:lang w:val="en-US" w:eastAsia="zh-CN" w:bidi="ar-SA"/>
              </w:rPr>
              <w:t>分，本项最高得</w:t>
            </w:r>
            <w:r>
              <w:rPr>
                <w:rFonts w:hint="eastAsia" w:ascii="宋体" w:hAnsi="宋体" w:eastAsia="宋体" w:cs="Times New Roman"/>
                <w:color w:val="auto"/>
                <w:kern w:val="2"/>
                <w:sz w:val="22"/>
                <w:szCs w:val="22"/>
                <w:highlight w:val="none"/>
                <w:lang w:val="en-US" w:eastAsia="zh-CN" w:bidi="ar-SA"/>
              </w:rPr>
              <w:t>6</w:t>
            </w:r>
            <w:r>
              <w:rPr>
                <w:rFonts w:hint="default" w:ascii="宋体" w:hAnsi="宋体" w:eastAsia="宋体" w:cs="Times New Roman"/>
                <w:color w:val="auto"/>
                <w:kern w:val="2"/>
                <w:sz w:val="22"/>
                <w:szCs w:val="22"/>
                <w:highlight w:val="none"/>
                <w:lang w:val="en-US" w:eastAsia="zh-CN" w:bidi="ar-SA"/>
              </w:rPr>
              <w:t>分。</w:t>
            </w:r>
          </w:p>
          <w:p w14:paraId="7307E34D">
            <w:pPr>
              <w:widowControl w:val="0"/>
              <w:wordWrap w:val="0"/>
              <w:adjustRightInd w:val="0"/>
              <w:snapToGrid w:val="0"/>
              <w:ind w:firstLine="0" w:firstLineChars="0"/>
              <w:jc w:val="both"/>
              <w:rPr>
                <w:rFonts w:hint="default" w:ascii="宋体" w:hAnsi="宋体" w:eastAsia="宋体" w:cs="Times New Roman"/>
                <w:color w:val="auto"/>
                <w:kern w:val="2"/>
                <w:sz w:val="22"/>
                <w:szCs w:val="22"/>
                <w:highlight w:val="none"/>
                <w:lang w:val="en-US" w:eastAsia="zh-CN" w:bidi="ar-SA"/>
              </w:rPr>
            </w:pPr>
            <w:r>
              <w:rPr>
                <w:rFonts w:hint="default" w:ascii="宋体" w:hAnsi="宋体" w:eastAsia="宋体" w:cs="Times New Roman"/>
                <w:color w:val="auto"/>
                <w:kern w:val="2"/>
                <w:sz w:val="22"/>
                <w:szCs w:val="22"/>
                <w:highlight w:val="none"/>
                <w:lang w:val="en-US" w:eastAsia="zh-CN" w:bidi="ar-SA"/>
              </w:rPr>
              <w:t>注：须提供注册证书复印件</w:t>
            </w:r>
            <w:r>
              <w:rPr>
                <w:rFonts w:hint="eastAsia" w:ascii="宋体" w:hAnsi="宋体" w:eastAsia="宋体" w:cs="Times New Roman"/>
                <w:color w:val="auto"/>
                <w:kern w:val="2"/>
                <w:sz w:val="22"/>
                <w:szCs w:val="22"/>
                <w:highlight w:val="none"/>
                <w:lang w:val="en-US" w:eastAsia="zh-CN" w:bidi="ar-SA"/>
              </w:rPr>
              <w:t>。</w:t>
            </w:r>
          </w:p>
        </w:tc>
      </w:tr>
      <w:tr w14:paraId="515C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shd w:val="clear" w:color="auto" w:fill="auto"/>
            <w:vAlign w:val="center"/>
          </w:tcPr>
          <w:p w14:paraId="679FA439">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064" w:type="dxa"/>
            <w:vMerge w:val="continue"/>
            <w:shd w:val="clear" w:color="auto" w:fill="auto"/>
            <w:vAlign w:val="center"/>
          </w:tcPr>
          <w:p w14:paraId="18D3B782">
            <w:pPr>
              <w:widowControl w:val="0"/>
              <w:wordWrap w:val="0"/>
              <w:adjustRightInd w:val="0"/>
              <w:snapToGrid w:val="0"/>
              <w:rPr>
                <w:rFonts w:ascii="宋体" w:hAnsi="宋体" w:eastAsia="宋体" w:cs="宋体"/>
                <w:color w:val="auto"/>
                <w:kern w:val="2"/>
                <w:sz w:val="22"/>
                <w:szCs w:val="22"/>
                <w:highlight w:val="none"/>
                <w:lang w:val="en-US" w:eastAsia="zh-CN" w:bidi="ar-SA"/>
              </w:rPr>
            </w:pPr>
          </w:p>
        </w:tc>
        <w:tc>
          <w:tcPr>
            <w:tcW w:w="1629" w:type="dxa"/>
            <w:shd w:val="clear" w:color="auto" w:fill="auto"/>
            <w:vAlign w:val="center"/>
          </w:tcPr>
          <w:p w14:paraId="2B0A5A2C">
            <w:pPr>
              <w:widowControl w:val="0"/>
              <w:wordWrap w:val="0"/>
              <w:adjustRightInd w:val="0"/>
              <w:snapToGrid w:val="0"/>
              <w:jc w:val="both"/>
              <w:rPr>
                <w:rFonts w:ascii="宋体" w:hAnsi="宋体" w:eastAsia="宋体" w:cs="Times New Roman"/>
                <w:color w:val="auto"/>
                <w:kern w:val="2"/>
                <w:sz w:val="22"/>
                <w:szCs w:val="24"/>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投标报价</w:t>
            </w:r>
          </w:p>
          <w:p w14:paraId="0D33B312">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ascii="宋体" w:hAnsi="宋体" w:eastAsia="宋体" w:cs="Times New Roman"/>
                <w:color w:val="auto"/>
                <w:kern w:val="2"/>
                <w:sz w:val="22"/>
                <w:szCs w:val="22"/>
                <w:highlight w:val="none"/>
                <w:lang w:val="en-US" w:eastAsia="zh-CN" w:bidi="ar-SA"/>
              </w:rPr>
              <w:t>15分）</w:t>
            </w:r>
          </w:p>
        </w:tc>
        <w:tc>
          <w:tcPr>
            <w:tcW w:w="5520" w:type="dxa"/>
            <w:shd w:val="clear" w:color="auto" w:fill="auto"/>
            <w:vAlign w:val="center"/>
          </w:tcPr>
          <w:p w14:paraId="58926C10">
            <w:pPr>
              <w:wordWrap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评标基准价</w:t>
            </w:r>
            <w:r>
              <w:rPr>
                <w:rFonts w:ascii="宋体" w:hAnsi="宋体" w:eastAsia="宋体" w:cs="Times New Roman"/>
                <w:color w:val="auto"/>
                <w:kern w:val="2"/>
                <w:sz w:val="22"/>
                <w:szCs w:val="22"/>
                <w:highlight w:val="none"/>
                <w:lang w:val="en-US" w:eastAsia="zh-CN" w:bidi="ar-SA"/>
              </w:rPr>
              <w:t>=满足招标文件要求的所有</w:t>
            </w:r>
            <w:r>
              <w:rPr>
                <w:rFonts w:hint="eastAsia" w:ascii="宋体" w:hAnsi="宋体" w:eastAsia="宋体" w:cs="Times New Roman"/>
                <w:color w:val="auto"/>
                <w:kern w:val="2"/>
                <w:sz w:val="22"/>
                <w:szCs w:val="22"/>
                <w:highlight w:val="none"/>
                <w:lang w:val="en-US" w:eastAsia="zh-CN" w:bidi="ar-SA"/>
              </w:rPr>
              <w:t>投标</w:t>
            </w:r>
            <w:r>
              <w:rPr>
                <w:rFonts w:ascii="宋体" w:hAnsi="宋体" w:eastAsia="宋体" w:cs="Times New Roman"/>
                <w:color w:val="auto"/>
                <w:kern w:val="2"/>
                <w:sz w:val="22"/>
                <w:szCs w:val="22"/>
                <w:highlight w:val="none"/>
                <w:lang w:val="en-US" w:eastAsia="zh-CN" w:bidi="ar-SA"/>
              </w:rPr>
              <w:t>报价的平均值</w:t>
            </w:r>
          </w:p>
          <w:p w14:paraId="04488938">
            <w:pPr>
              <w:wordWrap w:val="0"/>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报价得分</w:t>
            </w:r>
            <w:r>
              <w:rPr>
                <w:rFonts w:ascii="宋体" w:hAnsi="宋体" w:eastAsia="宋体" w:cs="Times New Roman"/>
                <w:color w:val="auto"/>
                <w:kern w:val="2"/>
                <w:sz w:val="22"/>
                <w:szCs w:val="22"/>
                <w:highlight w:val="none"/>
                <w:lang w:val="en-US" w:eastAsia="zh-CN" w:bidi="ar-SA"/>
              </w:rPr>
              <w:t>=(1-|评标基准价-投标人</w:t>
            </w:r>
            <w:r>
              <w:rPr>
                <w:rFonts w:hint="eastAsia" w:ascii="宋体" w:hAnsi="宋体" w:eastAsia="宋体" w:cs="Times New Roman"/>
                <w:color w:val="auto"/>
                <w:kern w:val="2"/>
                <w:sz w:val="22"/>
                <w:szCs w:val="22"/>
                <w:highlight w:val="none"/>
                <w:lang w:val="en-US" w:eastAsia="zh-CN" w:bidi="ar-SA"/>
              </w:rPr>
              <w:t>投标</w:t>
            </w:r>
            <w:r>
              <w:rPr>
                <w:rFonts w:ascii="宋体" w:hAnsi="宋体" w:eastAsia="宋体" w:cs="Times New Roman"/>
                <w:color w:val="auto"/>
                <w:kern w:val="2"/>
                <w:sz w:val="22"/>
                <w:szCs w:val="22"/>
                <w:highlight w:val="none"/>
                <w:lang w:val="en-US" w:eastAsia="zh-CN" w:bidi="ar-SA"/>
              </w:rPr>
              <w:t>报价|/评标基准价)×15</w:t>
            </w:r>
          </w:p>
          <w:p w14:paraId="13697FE6">
            <w:pPr>
              <w:widowControl w:val="0"/>
              <w:wordWrap w:val="0"/>
              <w:adjustRightInd w:val="0"/>
              <w:snapToGrid w:val="0"/>
              <w:jc w:val="both"/>
              <w:rPr>
                <w:rFonts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注：投标报价得分四舍五入后，小数点后保留两位有效数。</w:t>
            </w:r>
          </w:p>
        </w:tc>
      </w:tr>
    </w:tbl>
    <w:p w14:paraId="254844DB">
      <w:pPr>
        <w:pageBreakBefore/>
        <w:widowControl w:val="0"/>
        <w:wordWrap w:val="0"/>
        <w:adjustRightInd w:val="0"/>
        <w:snapToGrid w:val="0"/>
        <w:spacing w:before="120" w:beforeLines="50" w:beforeAutospacing="0" w:after="0" w:afterAutospacing="0" w:line="312" w:lineRule="auto"/>
        <w:ind w:firstLine="482" w:firstLineChars="200"/>
        <w:jc w:val="left"/>
        <w:outlineLvl w:val="1"/>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1.评标方法</w:t>
      </w:r>
    </w:p>
    <w:p w14:paraId="6A5B3E53">
      <w:pPr>
        <w:widowControl w:val="0"/>
        <w:wordWrap w:val="0"/>
        <w:adjustRightInd w:val="0"/>
        <w:snapToGrid w:val="0"/>
        <w:spacing w:before="0" w:beforeAutospacing="0" w:after="0" w:afterAutospacing="0" w:line="312"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本次评标采用</w:t>
      </w:r>
      <w:r>
        <w:rPr>
          <w:rFonts w:hint="eastAsia" w:ascii="宋体" w:hAnsi="宋体" w:eastAsia="宋体" w:cs="宋体"/>
          <w:b/>
          <w:bCs/>
          <w:color w:val="auto"/>
          <w:kern w:val="2"/>
          <w:sz w:val="24"/>
          <w:szCs w:val="24"/>
          <w:highlight w:val="none"/>
          <w:u w:val="single"/>
          <w:lang w:val="en-US" w:eastAsia="zh-CN" w:bidi="ar-SA"/>
        </w:rPr>
        <w:t>综合评分法</w:t>
      </w:r>
      <w:r>
        <w:rPr>
          <w:rFonts w:hint="eastAsia" w:ascii="宋体" w:hAnsi="宋体" w:eastAsia="宋体" w:cs="宋体"/>
          <w:bCs/>
          <w:color w:val="auto"/>
          <w:kern w:val="2"/>
          <w:sz w:val="24"/>
          <w:szCs w:val="24"/>
          <w:highlight w:val="none"/>
          <w:lang w:val="en-US" w:eastAsia="zh-CN" w:bidi="ar-SA"/>
        </w:rPr>
        <w:t>。评标委员会对满足招标文件实质性要求的投标文件，按照本章第2.2款规定的评分标准进行综合评分，并按综合评分由高到低顺序推荐不超过3名中标候选人。</w:t>
      </w:r>
    </w:p>
    <w:p w14:paraId="2D83F28E">
      <w:pPr>
        <w:widowControl w:val="0"/>
        <w:wordWrap w:val="0"/>
        <w:adjustRightInd w:val="0"/>
        <w:snapToGrid w:val="0"/>
        <w:spacing w:before="120" w:beforeLines="50" w:beforeAutospacing="0" w:after="0" w:afterAutospacing="0" w:line="312" w:lineRule="auto"/>
        <w:ind w:firstLine="482" w:firstLineChars="200"/>
        <w:jc w:val="left"/>
        <w:outlineLvl w:val="1"/>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2.评审标准</w:t>
      </w:r>
    </w:p>
    <w:p w14:paraId="0B457959">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2.1初步评审标准</w:t>
      </w:r>
    </w:p>
    <w:p w14:paraId="2791724C">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2.1.1形式评审标准：见评标办法前附表。</w:t>
      </w:r>
    </w:p>
    <w:p w14:paraId="4BE8CD95">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2.1.2</w:t>
      </w:r>
      <w:r>
        <w:rPr>
          <w:rFonts w:hint="eastAsia" w:ascii="宋体" w:hAnsi="宋体" w:eastAsia="宋体" w:cs="宋体"/>
          <w:bCs/>
          <w:color w:val="auto"/>
          <w:kern w:val="2"/>
          <w:sz w:val="24"/>
          <w:szCs w:val="24"/>
          <w:highlight w:val="none"/>
          <w:lang w:val="en-US" w:eastAsia="zh-CN" w:bidi="ar-SA"/>
        </w:rPr>
        <w:t>响应性评审标准：见评标办法前附表。</w:t>
      </w:r>
    </w:p>
    <w:p w14:paraId="7E107518">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2.1.3资格评审标准：见评标办法前附表。</w:t>
      </w:r>
    </w:p>
    <w:p w14:paraId="69F4FB03">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2.2详细评审</w:t>
      </w:r>
    </w:p>
    <w:p w14:paraId="2B0FCA01">
      <w:pPr>
        <w:widowControl w:val="0"/>
        <w:wordWrap w:val="0"/>
        <w:adjustRightInd w:val="0"/>
        <w:snapToGrid w:val="0"/>
        <w:spacing w:before="0" w:beforeAutospacing="0" w:after="0" w:afterAutospacing="0" w:line="312" w:lineRule="auto"/>
        <w:ind w:firstLine="480" w:firstLineChars="200"/>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2.2.1分值构成与评分标准：见评标办法前附表。</w:t>
      </w:r>
    </w:p>
    <w:p w14:paraId="14DAA071">
      <w:pPr>
        <w:widowControl w:val="0"/>
        <w:wordWrap w:val="0"/>
        <w:adjustRightInd w:val="0"/>
        <w:snapToGrid w:val="0"/>
        <w:spacing w:before="120" w:beforeLines="50" w:beforeAutospacing="0" w:after="0" w:afterAutospacing="0" w:line="312" w:lineRule="auto"/>
        <w:ind w:firstLine="482" w:firstLineChars="200"/>
        <w:jc w:val="left"/>
        <w:outlineLvl w:val="1"/>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3.评标程序</w:t>
      </w:r>
    </w:p>
    <w:p w14:paraId="1AD68C61">
      <w:pPr>
        <w:wordWrap w:val="0"/>
        <w:adjustRightInd w:val="0"/>
        <w:snapToGrid w:val="0"/>
        <w:spacing w:line="312"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3.1初步评审</w:t>
      </w:r>
    </w:p>
    <w:p w14:paraId="4942C395">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3.1.1评标委员会依据本章第2.1.1及2.1.2条规定的标准，对投标文件进行形式评审与响应性评审。有一项不符合评审标准的，评标委员会应当否决其投标。</w:t>
      </w:r>
    </w:p>
    <w:p w14:paraId="0C86444C">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3.1.2资格评审标准：评标委员会依据本章第2.1.3条规定的标准，对通过形式评审与响应性评审的投标文件进行资格评审。有一项不符合评审标准的，评标委员会应当否决其投标。</w:t>
      </w:r>
    </w:p>
    <w:p w14:paraId="021B4019">
      <w:pPr>
        <w:wordWrap w:val="0"/>
        <w:adjustRightInd w:val="0"/>
        <w:snapToGrid w:val="0"/>
        <w:spacing w:line="312"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3.2详细评审</w:t>
      </w:r>
    </w:p>
    <w:p w14:paraId="3D2687FB">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评标委员会依据本章详细评审标准，对通过资格评审的投标人进行详细评审。评审因素得分以评标委员会的评分去高去低后的算数平均值；综合评分为各评审因素得分之和计算，结果四舍五入保留2</w:t>
      </w:r>
      <w:r>
        <w:rPr>
          <w:rFonts w:hint="eastAsia" w:ascii="宋体" w:hAnsi="宋体" w:eastAsia="宋体" w:cs="宋体"/>
          <w:color w:val="auto"/>
          <w:sz w:val="24"/>
          <w:highlight w:val="none"/>
          <w:lang w:eastAsia="zh-CN"/>
        </w:rPr>
        <w:t>位</w:t>
      </w:r>
      <w:r>
        <w:rPr>
          <w:rFonts w:hint="eastAsia" w:ascii="宋体" w:hAnsi="宋体" w:eastAsia="宋体" w:cs="宋体"/>
          <w:color w:val="auto"/>
          <w:sz w:val="24"/>
          <w:highlight w:val="none"/>
        </w:rPr>
        <w:t>小数。</w:t>
      </w:r>
    </w:p>
    <w:p w14:paraId="3BFE5E9A">
      <w:pPr>
        <w:wordWrap w:val="0"/>
        <w:adjustRightInd w:val="0"/>
        <w:snapToGrid w:val="0"/>
        <w:spacing w:line="312"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3.3投标文件的澄清和补正</w:t>
      </w:r>
    </w:p>
    <w:p w14:paraId="0EFA0613">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11E08663">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3.3.2澄清、说明和补正不得改变投标文件的实质性内容。投标人的书面澄清、说明和补正属于投标文件的组成部分。</w:t>
      </w:r>
    </w:p>
    <w:p w14:paraId="6F6B4ACB">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3.3.3评标委员会对投标人提交的澄清、说明或补正有疑问的，可以要求投标人进一步澄清、说明或补正，直至满足评标委员会的要求。</w:t>
      </w:r>
    </w:p>
    <w:p w14:paraId="2E59F7D8">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3.3.4凡超出招标文件规定的或给发包人带来未曾要求的利益的变化、偏差或其他因素在评标时不予考虑。</w:t>
      </w:r>
    </w:p>
    <w:p w14:paraId="18F2CD72">
      <w:pPr>
        <w:wordWrap w:val="0"/>
        <w:adjustRightInd w:val="0"/>
        <w:snapToGrid w:val="0"/>
        <w:spacing w:line="312"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3.4推荐中标候选人</w:t>
      </w:r>
    </w:p>
    <w:p w14:paraId="5724E196">
      <w:pPr>
        <w:wordWrap w:val="0"/>
        <w:adjustRightInd w:val="0"/>
        <w:snapToGrid w:val="0"/>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评标委员会按照投标人综合得分由高至低排序，综合得分最高的为第一中标候选人，综合得分次</w:t>
      </w:r>
      <w:r>
        <w:rPr>
          <w:rFonts w:hint="eastAsia" w:ascii="宋体" w:hAnsi="宋体" w:eastAsia="宋体" w:cs="宋体"/>
          <w:color w:val="auto"/>
          <w:sz w:val="24"/>
          <w:highlight w:val="none"/>
          <w:lang w:eastAsia="zh-CN"/>
        </w:rPr>
        <w:t>高</w:t>
      </w:r>
      <w:r>
        <w:rPr>
          <w:rFonts w:hint="eastAsia" w:ascii="宋体" w:hAnsi="宋体" w:eastAsia="宋体" w:cs="宋体"/>
          <w:color w:val="auto"/>
          <w:sz w:val="24"/>
          <w:highlight w:val="none"/>
        </w:rPr>
        <w:t>的为第二中标候选人，以此类推，共推荐三名中标候选人。综合得分相同的投标文件，以报价较低的排前；报价均相同的投标文件，由评标委员会采用投票方式，确定投标人的排序，推荐前3名依次为第一中标候选人至第三中标候选人,并编制评标报告。</w:t>
      </w:r>
    </w:p>
    <w:p w14:paraId="7571CA85">
      <w:pPr>
        <w:wordWrap w:val="0"/>
        <w:adjustRightInd w:val="0"/>
        <w:snapToGrid w:val="0"/>
        <w:spacing w:line="312" w:lineRule="auto"/>
        <w:ind w:firstLine="482" w:firstLineChars="0"/>
        <w:jc w:val="left"/>
        <w:rPr>
          <w:rFonts w:ascii="宋体" w:hAnsi="宋体" w:eastAsia="宋体" w:cs="Times New Roman"/>
          <w:b/>
          <w:color w:val="auto"/>
          <w:sz w:val="24"/>
          <w:highlight w:val="none"/>
        </w:rPr>
      </w:pPr>
    </w:p>
    <w:p w14:paraId="6F6990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0248C"/>
    <w:rsid w:val="2A11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2026-05-22T08:43:26Z</dcterms:created>
  <dc:creator>cmh</dc:creator>
  <cp:lastModifiedBy>cmh</cp:lastModifiedBy>
  <dcterms:modified xsi:type="dcterms:W3CDTF">2026-05-22T08:43:46Z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eyJoZGlkIjoiZGQzOTAyNWM1MGEzZWMwMjNlOWNkNWIwYTEzZmIzYTYiLCJ1c2VySWQiOiIxODI4MzU3Mjg0In0=</vt:lpwstr>
  </property>
  <property fmtid="{D5CDD505-2E9C-101B-9397-08002B2CF9AE}" pid="4" name="ICV">
    <vt:lpwstr>96ED6AC14BAF40D2988A88101171140D_12</vt:lpwstr>
  </property>
</Properties>
</file>