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C29F">
      <w:pPr>
        <w:pageBreakBefore/>
        <w:widowControl w:val="0"/>
        <w:numPr>
          <w:numId w:val="0"/>
        </w:numPr>
        <w:wordWrap w:val="0"/>
        <w:adjustRightInd w:val="0"/>
        <w:snapToGrid w:val="0"/>
        <w:spacing w:before="240" w:after="240" w:line="288" w:lineRule="auto"/>
        <w:ind w:leftChars="0"/>
        <w:jc w:val="center"/>
        <w:outlineLvl w:val="0"/>
        <w:rPr>
          <w:rFonts w:ascii="宋体" w:hAnsi="宋体" w:eastAsia="宋体" w:cs="Times New Roman"/>
          <w:b/>
          <w:color w:val="auto"/>
          <w:sz w:val="32"/>
          <w:szCs w:val="32"/>
          <w:highlight w:val="none"/>
          <w:lang w:val="en-US" w:eastAsia="zh-CN" w:bidi="ar-SA"/>
        </w:rPr>
      </w:pPr>
      <w:bookmarkStart w:id="0" w:name="_Toc13445"/>
      <w:r>
        <w:rPr>
          <w:rFonts w:hint="eastAsia" w:ascii="宋体" w:hAnsi="宋体" w:eastAsia="宋体" w:cs="Times New Roman"/>
          <w:b/>
          <w:color w:val="auto"/>
          <w:sz w:val="32"/>
          <w:szCs w:val="36"/>
          <w:highlight w:val="none"/>
          <w:lang w:val="en-US" w:eastAsia="zh-CN" w:bidi="ar-SA"/>
        </w:rPr>
        <w:t>项目需求书</w:t>
      </w:r>
      <w:bookmarkEnd w:id="0"/>
      <w:bookmarkStart w:id="3" w:name="_GoBack"/>
      <w:bookmarkEnd w:id="3"/>
    </w:p>
    <w:p w14:paraId="3F56A6B9">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bookmarkStart w:id="1" w:name="_Toc403491566"/>
      <w:r>
        <w:rPr>
          <w:rFonts w:hint="eastAsia" w:ascii="宋体" w:hAnsi="宋体" w:eastAsia="宋体" w:cs="Times New Roman"/>
          <w:b/>
          <w:bCs/>
          <w:color w:val="auto"/>
          <w:kern w:val="2"/>
          <w:sz w:val="24"/>
          <w:szCs w:val="32"/>
          <w:highlight w:val="none"/>
          <w:lang w:val="en-US" w:eastAsia="zh-CN" w:bidi="ar-SA"/>
        </w:rPr>
        <w:t>、项目概况</w:t>
      </w:r>
    </w:p>
    <w:p w14:paraId="7A46D4C1">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为进一步强化集团对下属各级子公司、控股企业及托管企业在开发销售与持有运营两类核心物业业务的销售环节、运营管理及内部控制的监督与管理，防范资产流失，提升运营效益，保障资产安全完整</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现拟对</w:t>
      </w:r>
      <w:r>
        <w:rPr>
          <w:rFonts w:hint="eastAsia" w:ascii="宋体" w:hAnsi="宋体" w:eastAsia="宋体" w:cs="Times New Roman"/>
          <w:color w:val="auto"/>
          <w:sz w:val="24"/>
          <w:highlight w:val="none"/>
          <w:lang w:eastAsia="zh-CN"/>
        </w:rPr>
        <w:t>建科集团及下属企业</w:t>
      </w:r>
      <w:r>
        <w:rPr>
          <w:rFonts w:hint="eastAsia" w:ascii="宋体" w:hAnsi="宋体" w:eastAsia="宋体" w:cs="Times New Roman"/>
          <w:color w:val="auto"/>
          <w:sz w:val="24"/>
          <w:highlight w:val="none"/>
          <w:lang w:val="en-US" w:eastAsia="zh-CN"/>
        </w:rPr>
        <w:t>部分</w:t>
      </w:r>
      <w:r>
        <w:rPr>
          <w:rFonts w:hint="eastAsia" w:ascii="宋体" w:hAnsi="宋体" w:eastAsia="宋体" w:cs="Times New Roman"/>
          <w:color w:val="auto"/>
          <w:sz w:val="24"/>
          <w:highlight w:val="none"/>
          <w:lang w:eastAsia="zh-CN"/>
        </w:rPr>
        <w:t>销售</w:t>
      </w:r>
      <w:r>
        <w:rPr>
          <w:rFonts w:hint="eastAsia" w:ascii="宋体" w:hAnsi="宋体" w:eastAsia="宋体" w:cs="Times New Roman"/>
          <w:color w:val="auto"/>
          <w:sz w:val="24"/>
          <w:highlight w:val="none"/>
          <w:lang w:val="en-US" w:eastAsia="zh-CN"/>
        </w:rPr>
        <w:t>与</w:t>
      </w:r>
      <w:r>
        <w:rPr>
          <w:rFonts w:hint="eastAsia" w:ascii="宋体" w:hAnsi="宋体" w:eastAsia="宋体" w:cs="Times New Roman"/>
          <w:color w:val="auto"/>
          <w:sz w:val="24"/>
          <w:highlight w:val="none"/>
          <w:lang w:eastAsia="zh-CN"/>
        </w:rPr>
        <w:t>出租物业的经营合规性</w:t>
      </w:r>
      <w:r>
        <w:rPr>
          <w:rFonts w:hint="eastAsia" w:ascii="宋体" w:hAnsi="宋体" w:eastAsia="宋体" w:cs="Times New Roman"/>
          <w:color w:val="auto"/>
          <w:sz w:val="24"/>
          <w:highlight w:val="none"/>
          <w:lang w:val="en-US" w:eastAsia="zh-CN"/>
        </w:rPr>
        <w:t>进行</w:t>
      </w:r>
      <w:r>
        <w:rPr>
          <w:rFonts w:hint="eastAsia" w:ascii="宋体" w:hAnsi="宋体" w:eastAsia="宋体" w:cs="Times New Roman"/>
          <w:color w:val="auto"/>
          <w:sz w:val="24"/>
          <w:highlight w:val="none"/>
          <w:lang w:eastAsia="zh-CN"/>
        </w:rPr>
        <w:t>专项审计</w:t>
      </w:r>
      <w:r>
        <w:rPr>
          <w:rFonts w:ascii="宋体" w:hAnsi="宋体" w:eastAsia="宋体" w:cs="Times New Roman"/>
          <w:color w:val="auto"/>
          <w:sz w:val="24"/>
          <w:highlight w:val="none"/>
        </w:rPr>
        <w:t>。</w:t>
      </w:r>
    </w:p>
    <w:p w14:paraId="0A5CF03F">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r>
        <w:rPr>
          <w:rFonts w:hint="eastAsia" w:ascii="宋体" w:hAnsi="宋体" w:eastAsia="宋体" w:cs="Times New Roman"/>
          <w:b/>
          <w:bCs/>
          <w:color w:val="auto"/>
          <w:kern w:val="2"/>
          <w:sz w:val="24"/>
          <w:szCs w:val="32"/>
          <w:highlight w:val="none"/>
          <w:lang w:val="en-US" w:eastAsia="zh-CN" w:bidi="ar-SA"/>
        </w:rPr>
        <w:t>、审计期间</w:t>
      </w:r>
    </w:p>
    <w:p w14:paraId="2A794561">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2024年10月1日至2026年3月31日</w:t>
      </w:r>
      <w:r>
        <w:rPr>
          <w:rFonts w:ascii="宋体" w:hAnsi="宋体" w:eastAsia="宋体" w:cs="Times New Roman"/>
          <w:color w:val="auto"/>
          <w:sz w:val="24"/>
          <w:highlight w:val="none"/>
        </w:rPr>
        <w:t>。</w:t>
      </w:r>
    </w:p>
    <w:p w14:paraId="09675F53">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r>
        <w:rPr>
          <w:rFonts w:hint="eastAsia" w:ascii="宋体" w:hAnsi="宋体" w:eastAsia="宋体" w:cs="Times New Roman"/>
          <w:b/>
          <w:bCs/>
          <w:color w:val="auto"/>
          <w:kern w:val="2"/>
          <w:sz w:val="24"/>
          <w:szCs w:val="32"/>
          <w:highlight w:val="none"/>
          <w:lang w:val="en-US" w:eastAsia="zh-CN" w:bidi="ar-SA"/>
        </w:rPr>
        <w:t>、服务内容及要求</w:t>
      </w:r>
    </w:p>
    <w:p w14:paraId="209E5EBD">
      <w:pPr>
        <w:wordWrap w:val="0"/>
        <w:adjustRightInd w:val="0"/>
        <w:snapToGrid w:val="0"/>
        <w:spacing w:line="312"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本次对以下两类物业的经营管理情况进行合规性专项审计：</w:t>
      </w:r>
    </w:p>
    <w:p w14:paraId="65A1EB46">
      <w:pPr>
        <w:wordWrap w:val="0"/>
        <w:adjustRightInd w:val="0"/>
        <w:snapToGrid w:val="0"/>
        <w:spacing w:line="312"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销售类物业：集团及下属企业开发建设并用于对外销售的住宅、办公、商业物业及产业园区，审计聚焦销售环节，涵盖销售决策及方案、销售定价、销售风险管控、代理销售机构招标、营销推广、销售折扣及特殊优惠等全流程合规性。</w:t>
      </w:r>
    </w:p>
    <w:p w14:paraId="097F88E9">
      <w:pPr>
        <w:wordWrap w:val="0"/>
        <w:adjustRightInd w:val="0"/>
        <w:snapToGrid w:val="0"/>
        <w:spacing w:line="312"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租类物业：集团及下属企业持有并用于对外出租的住宅物业、商业物业、办公物业、产业园区（含自有产权、租赁使用权资产、受托管理的资产出租项目），从集团监管视角覆盖出租全流程及下属企业履职情况，重点审查出租审批与决策、出租合同及承租方管理、租金收缴与财务管理、资产维护与风险管控、下属企业履职与集团管控执行等内容。</w:t>
      </w:r>
    </w:p>
    <w:p w14:paraId="22CDB573">
      <w:pPr>
        <w:wordWrap w:val="0"/>
        <w:adjustRightInd w:val="0"/>
        <w:snapToGrid w:val="0"/>
        <w:spacing w:line="312"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此外，还须对全民营销及渠道激励费用的合规性开展审计，并对以往审计问题的整改情况进行复核。</w:t>
      </w:r>
    </w:p>
    <w:p w14:paraId="3A769857">
      <w:pPr>
        <w:wordWrap w:val="0"/>
        <w:adjustRightInd w:val="0"/>
        <w:snapToGrid w:val="0"/>
        <w:spacing w:line="312"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审计服务过程中，中标单位需按要求定期提交审计工作进度说明，及时向招标人反馈审计发现的问题，配合招标人做好问题线索的核查跟进工作，严格遵守招标人信息安全管理规定，对审计过程中接触的所有涉密、敏感信息承担保密责任。</w:t>
      </w:r>
    </w:p>
    <w:p w14:paraId="64A99EEA">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r>
        <w:rPr>
          <w:rFonts w:hint="eastAsia" w:ascii="宋体" w:hAnsi="宋体" w:eastAsia="宋体" w:cs="Times New Roman"/>
          <w:b/>
          <w:bCs/>
          <w:color w:val="auto"/>
          <w:kern w:val="2"/>
          <w:sz w:val="24"/>
          <w:szCs w:val="32"/>
          <w:highlight w:val="none"/>
          <w:lang w:val="en-US" w:eastAsia="zh-CN" w:bidi="ar-SA"/>
        </w:rPr>
        <w:t>、服务期限</w:t>
      </w:r>
    </w:p>
    <w:p w14:paraId="01B6F8BD">
      <w:pPr>
        <w:wordWrap w:val="0"/>
        <w:adjustRightInd w:val="0"/>
        <w:snapToGrid w:val="0"/>
        <w:spacing w:line="312"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自合同签订之日起3个月内完成全部审计工作，并出具审计报告。服务应满足招标人的实际工作要求。</w:t>
      </w:r>
    </w:p>
    <w:p w14:paraId="2E52B670">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r>
        <w:rPr>
          <w:rFonts w:hint="eastAsia" w:ascii="宋体" w:hAnsi="宋体" w:eastAsia="宋体" w:cs="Times New Roman"/>
          <w:b/>
          <w:bCs/>
          <w:color w:val="auto"/>
          <w:kern w:val="2"/>
          <w:sz w:val="24"/>
          <w:szCs w:val="32"/>
          <w:highlight w:val="none"/>
          <w:lang w:val="en-US" w:eastAsia="zh-CN" w:bidi="ar-SA"/>
        </w:rPr>
        <w:t>、付款方式</w:t>
      </w:r>
    </w:p>
    <w:p w14:paraId="362DB36A">
      <w:pPr>
        <w:wordWrap w:val="0"/>
        <w:adjustRightInd w:val="0"/>
        <w:snapToGrid w:val="0"/>
        <w:spacing w:line="312" w:lineRule="auto"/>
        <w:ind w:firstLine="480" w:firstLineChars="200"/>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1.结算方式：</w:t>
      </w:r>
      <w:r>
        <w:rPr>
          <w:rFonts w:hint="eastAsia" w:ascii="宋体" w:hAnsi="宋体" w:eastAsia="宋体" w:cs="Times New Roman"/>
          <w:color w:val="auto"/>
          <w:sz w:val="24"/>
          <w:highlight w:val="none"/>
        </w:rPr>
        <w:t>审计费用与实际服务的企业进行结算，由最终服务对象承担。最终服务企业户数以实际</w:t>
      </w:r>
      <w:r>
        <w:rPr>
          <w:rFonts w:hint="eastAsia" w:ascii="宋体" w:hAnsi="宋体" w:eastAsia="宋体" w:cs="Times New Roman"/>
          <w:color w:val="auto"/>
          <w:sz w:val="24"/>
          <w:highlight w:val="none"/>
          <w:lang w:val="en-US" w:eastAsia="zh-CN"/>
        </w:rPr>
        <w:t>可</w:t>
      </w:r>
      <w:r>
        <w:rPr>
          <w:rFonts w:hint="eastAsia" w:ascii="宋体" w:hAnsi="宋体" w:eastAsia="宋体" w:cs="Times New Roman"/>
          <w:color w:val="auto"/>
          <w:sz w:val="24"/>
          <w:highlight w:val="none"/>
        </w:rPr>
        <w:t>开展</w:t>
      </w:r>
      <w:r>
        <w:rPr>
          <w:rFonts w:hint="eastAsia" w:ascii="宋体" w:hAnsi="宋体" w:eastAsia="宋体" w:cs="Times New Roman"/>
          <w:color w:val="auto"/>
          <w:sz w:val="24"/>
          <w:highlight w:val="none"/>
          <w:lang w:val="en-US" w:eastAsia="zh-CN"/>
        </w:rPr>
        <w:t>销售与出租物业经营合规性</w:t>
      </w:r>
      <w:r>
        <w:rPr>
          <w:rFonts w:hint="eastAsia" w:ascii="宋体" w:hAnsi="宋体" w:eastAsia="宋体" w:cs="Times New Roman"/>
          <w:color w:val="auto"/>
          <w:sz w:val="24"/>
          <w:highlight w:val="none"/>
        </w:rPr>
        <w:t>专项审计服务企业户数为准。最终服务对象与中标人双方签署《</w:t>
      </w:r>
      <w:r>
        <w:rPr>
          <w:rFonts w:hint="eastAsia" w:ascii="宋体" w:hAnsi="宋体" w:eastAsia="宋体" w:cs="Times New Roman"/>
          <w:color w:val="auto"/>
          <w:sz w:val="24"/>
          <w:highlight w:val="none"/>
          <w:lang w:val="en-US" w:eastAsia="zh-CN"/>
        </w:rPr>
        <w:t>销售与出租物业经营合规性</w:t>
      </w:r>
      <w:r>
        <w:rPr>
          <w:rFonts w:hint="eastAsia" w:ascii="宋体" w:hAnsi="宋体" w:eastAsia="宋体" w:cs="Times New Roman"/>
          <w:color w:val="auto"/>
          <w:sz w:val="24"/>
          <w:highlight w:val="none"/>
        </w:rPr>
        <w:t>专项审计业务约定书》</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另册）</w:t>
      </w:r>
      <w:r>
        <w:rPr>
          <w:rFonts w:hint="eastAsia" w:ascii="宋体" w:hAnsi="宋体" w:eastAsia="宋体" w:cs="Times New Roman"/>
          <w:color w:val="auto"/>
          <w:sz w:val="24"/>
          <w:highlight w:val="none"/>
        </w:rPr>
        <w:t>之日起10个工作日内，最终服务对象向中标人支付《</w:t>
      </w:r>
      <w:r>
        <w:rPr>
          <w:rFonts w:hint="eastAsia" w:ascii="宋体" w:hAnsi="宋体" w:eastAsia="宋体" w:cs="Times New Roman"/>
          <w:color w:val="auto"/>
          <w:sz w:val="24"/>
          <w:highlight w:val="none"/>
          <w:lang w:val="en-US" w:eastAsia="zh-CN"/>
        </w:rPr>
        <w:t>销售与出租物业经营合规性</w:t>
      </w:r>
      <w:r>
        <w:rPr>
          <w:rFonts w:hint="eastAsia" w:ascii="宋体" w:hAnsi="宋体" w:eastAsia="宋体" w:cs="Times New Roman"/>
          <w:color w:val="auto"/>
          <w:sz w:val="24"/>
          <w:highlight w:val="none"/>
        </w:rPr>
        <w:t>专项审计业务约定书》</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另册）</w:t>
      </w:r>
      <w:r>
        <w:rPr>
          <w:rFonts w:hint="eastAsia" w:ascii="宋体" w:hAnsi="宋体" w:eastAsia="宋体" w:cs="Times New Roman"/>
          <w:color w:val="auto"/>
          <w:sz w:val="24"/>
          <w:highlight w:val="none"/>
        </w:rPr>
        <w:t>总额的50%审计服务费用。中标人向招标人及最终服务对象提交审计报告终稿且收到合法合规的增值税专用发票后</w:t>
      </w:r>
      <w:r>
        <w:rPr>
          <w:rFonts w:hint="eastAsia" w:ascii="宋体" w:hAnsi="宋体" w:eastAsia="宋体" w:cs="Times New Roman"/>
          <w:color w:val="auto"/>
          <w:sz w:val="24"/>
          <w:highlight w:val="none"/>
          <w:lang w:val="en-US" w:eastAsia="zh-CN"/>
        </w:rPr>
        <w:t>10</w:t>
      </w:r>
      <w:r>
        <w:rPr>
          <w:rFonts w:hint="eastAsia" w:ascii="宋体" w:hAnsi="宋体" w:eastAsia="宋体" w:cs="Times New Roman"/>
          <w:color w:val="auto"/>
          <w:sz w:val="24"/>
          <w:highlight w:val="none"/>
        </w:rPr>
        <w:t>个工作日内，最终服务对象把本合同总额的50%审计服务费用支</w:t>
      </w:r>
      <w:r>
        <w:rPr>
          <w:rFonts w:hint="eastAsia" w:ascii="宋体" w:hAnsi="宋体" w:eastAsia="宋体" w:cs="Times New Roman"/>
          <w:color w:val="auto"/>
          <w:sz w:val="24"/>
          <w:highlight w:val="none"/>
          <w:lang w:eastAsia="zh-CN"/>
        </w:rPr>
        <w:t>付给</w:t>
      </w:r>
      <w:r>
        <w:rPr>
          <w:rFonts w:hint="eastAsia" w:ascii="宋体" w:hAnsi="宋体" w:eastAsia="宋体" w:cs="Times New Roman"/>
          <w:color w:val="auto"/>
          <w:sz w:val="24"/>
          <w:highlight w:val="none"/>
        </w:rPr>
        <w:t>中标人</w:t>
      </w:r>
      <w:r>
        <w:rPr>
          <w:rFonts w:hint="eastAsia" w:ascii="宋体" w:hAnsi="宋体" w:eastAsia="宋体" w:cs="Times New Roman"/>
          <w:color w:val="auto"/>
          <w:sz w:val="24"/>
          <w:highlight w:val="none"/>
          <w:lang w:eastAsia="zh-CN"/>
        </w:rPr>
        <w:t>。</w:t>
      </w:r>
    </w:p>
    <w:p w14:paraId="1248C35A">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2.付款方式：</w:t>
      </w:r>
      <w:r>
        <w:rPr>
          <w:rFonts w:hint="eastAsia" w:ascii="宋体" w:hAnsi="宋体" w:eastAsia="宋体" w:cs="Times New Roman"/>
          <w:color w:val="auto"/>
          <w:sz w:val="24"/>
          <w:highlight w:val="none"/>
        </w:rPr>
        <w:t>详见《</w:t>
      </w:r>
      <w:r>
        <w:rPr>
          <w:rFonts w:hint="eastAsia" w:ascii="宋体" w:hAnsi="宋体" w:eastAsia="宋体" w:cs="Times New Roman"/>
          <w:color w:val="auto"/>
          <w:sz w:val="24"/>
          <w:highlight w:val="none"/>
          <w:lang w:val="en-US" w:eastAsia="zh-CN"/>
        </w:rPr>
        <w:t>销售与出租物业经营合规性</w:t>
      </w:r>
      <w:r>
        <w:rPr>
          <w:rFonts w:hint="eastAsia" w:ascii="宋体" w:hAnsi="宋体" w:eastAsia="宋体" w:cs="Times New Roman"/>
          <w:color w:val="auto"/>
          <w:sz w:val="24"/>
          <w:highlight w:val="none"/>
        </w:rPr>
        <w:t>专项审计业务约定书》</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另册）</w:t>
      </w:r>
      <w:r>
        <w:rPr>
          <w:rFonts w:hint="eastAsia" w:ascii="宋体" w:hAnsi="宋体" w:eastAsia="宋体" w:cs="Times New Roman"/>
          <w:color w:val="auto"/>
          <w:sz w:val="24"/>
          <w:highlight w:val="none"/>
        </w:rPr>
        <w:t>。</w:t>
      </w:r>
    </w:p>
    <w:p w14:paraId="0C7AFF02">
      <w:pPr>
        <w:keepNext/>
        <w:widowControl/>
        <w:numPr>
          <w:ilvl w:val="1"/>
          <w:numId w:val="1"/>
        </w:numPr>
        <w:wordWrap/>
        <w:autoSpaceDE w:val="0"/>
        <w:adjustRightInd w:val="0"/>
        <w:snapToGrid w:val="0"/>
        <w:spacing w:before="120" w:beforeLines="50" w:line="312" w:lineRule="auto"/>
        <w:ind w:left="0" w:firstLine="0" w:firstLineChars="0"/>
        <w:jc w:val="left"/>
        <w:outlineLvl w:val="1"/>
        <w:rPr>
          <w:rFonts w:ascii="宋体" w:hAnsi="宋体" w:eastAsia="宋体" w:cs="Times New Roman"/>
          <w:b/>
          <w:bCs/>
          <w:color w:val="auto"/>
          <w:kern w:val="2"/>
          <w:sz w:val="24"/>
          <w:szCs w:val="32"/>
          <w:highlight w:val="none"/>
          <w:lang w:val="en-US" w:eastAsia="zh-CN" w:bidi="ar-SA"/>
        </w:rPr>
      </w:pPr>
      <w:bookmarkStart w:id="2" w:name="_Toc143675313"/>
      <w:r>
        <w:rPr>
          <w:rFonts w:hint="eastAsia" w:ascii="宋体" w:hAnsi="宋体" w:eastAsia="宋体" w:cs="Times New Roman"/>
          <w:b/>
          <w:bCs/>
          <w:color w:val="auto"/>
          <w:kern w:val="2"/>
          <w:sz w:val="24"/>
          <w:szCs w:val="32"/>
          <w:highlight w:val="none"/>
          <w:lang w:val="en-US" w:eastAsia="zh-CN" w:bidi="ar-SA"/>
        </w:rPr>
        <w:t>、其他要求</w:t>
      </w:r>
    </w:p>
    <w:p w14:paraId="6595A2C0">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详见《</w:t>
      </w:r>
      <w:r>
        <w:rPr>
          <w:rFonts w:hint="eastAsia" w:ascii="宋体" w:hAnsi="宋体" w:eastAsia="宋体" w:cs="Times New Roman"/>
          <w:color w:val="auto"/>
          <w:sz w:val="24"/>
          <w:highlight w:val="none"/>
          <w:lang w:val="en-US" w:eastAsia="zh-CN"/>
        </w:rPr>
        <w:t>销售与出租物业经营合规性</w:t>
      </w:r>
      <w:r>
        <w:rPr>
          <w:rFonts w:hint="eastAsia" w:ascii="宋体" w:hAnsi="宋体" w:eastAsia="宋体" w:cs="Times New Roman"/>
          <w:color w:val="auto"/>
          <w:sz w:val="24"/>
          <w:highlight w:val="none"/>
        </w:rPr>
        <w:t>专项审计业务约定书》</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另册）</w:t>
      </w:r>
      <w:r>
        <w:rPr>
          <w:rFonts w:hint="eastAsia" w:ascii="宋体" w:hAnsi="宋体" w:eastAsia="宋体" w:cs="Times New Roman"/>
          <w:color w:val="auto"/>
          <w:sz w:val="24"/>
          <w:highlight w:val="none"/>
        </w:rPr>
        <w:t>约定。</w:t>
      </w:r>
    </w:p>
    <w:bookmarkEnd w:id="2"/>
    <w:p w14:paraId="36B62B52">
      <w:pPr>
        <w:wordWrap w:val="0"/>
        <w:adjustRightInd w:val="0"/>
        <w:snapToGrid w:val="0"/>
        <w:spacing w:line="312" w:lineRule="auto"/>
        <w:ind w:firstLine="480" w:firstLineChars="200"/>
        <w:rPr>
          <w:rFonts w:ascii="宋体" w:hAnsi="宋体" w:eastAsia="宋体" w:cs="宋体"/>
          <w:color w:val="auto"/>
          <w:sz w:val="24"/>
          <w:highlight w:val="none"/>
        </w:rPr>
      </w:pPr>
    </w:p>
    <w:bookmarkEnd w:id="1"/>
    <w:p w14:paraId="46F7C2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817B5"/>
    <w:multiLevelType w:val="multilevel"/>
    <w:tmpl w:val="4EC817B5"/>
    <w:lvl w:ilvl="0" w:tentative="0">
      <w:start w:val="1"/>
      <w:numFmt w:val="chineseCountingThousand"/>
      <w:suff w:val="space"/>
      <w:lvlText w:val="第%1章"/>
      <w:lvlJc w:val="left"/>
      <w:pPr>
        <w:ind w:left="0" w:firstLine="0"/>
      </w:pPr>
      <w:rPr>
        <w:rFonts w:hint="default"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482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rPr>
        <w:rFonts w:hint="eastAsia" w:ascii="宋体" w:hAnsi="宋体" w:eastAsia="宋体"/>
      </w:rPr>
    </w:lvl>
    <w:lvl w:ilvl="6" w:tentative="0">
      <w:start w:val="1"/>
      <w:numFmt w:val="none"/>
      <w:suff w:val="nothing"/>
      <w:lvlText w:val=""/>
      <w:lvlJc w:val="left"/>
      <w:pPr>
        <w:ind w:left="0" w:firstLine="0"/>
      </w:pPr>
      <w:rPr>
        <w:rFonts w:hint="eastAsia" w:ascii="宋体" w:hAnsi="宋体" w:eastAsia="宋体"/>
      </w:rPr>
    </w:lvl>
    <w:lvl w:ilvl="7" w:tentative="0">
      <w:start w:val="1"/>
      <w:numFmt w:val="none"/>
      <w:suff w:val="nothing"/>
      <w:lvlText w:val=""/>
      <w:lvlJc w:val="left"/>
      <w:pPr>
        <w:ind w:left="0" w:firstLine="0"/>
      </w:pPr>
      <w:rPr>
        <w:rFonts w:hint="eastAsia" w:ascii="宋体" w:hAnsi="宋体" w:eastAsia="宋体"/>
      </w:rPr>
    </w:lvl>
    <w:lvl w:ilvl="8" w:tentative="0">
      <w:start w:val="1"/>
      <w:numFmt w:val="none"/>
      <w:suff w:val="nothing"/>
      <w:lvlText w:val=""/>
      <w:lvlJc w:val="left"/>
      <w:pPr>
        <w:ind w:left="0" w:firstLine="0"/>
      </w:pPr>
      <w:rPr>
        <w:rFonts w:hint="eastAsia" w:ascii="宋体" w:hAnsi="宋体" w:eastAsia="宋体"/>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B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2026-05-22T08:45:36Z</dcterms:created>
  <dc:creator>cmh</dc:creator>
  <cp:lastModifiedBy>cmh</cp:lastModifiedBy>
  <dcterms:modified xsi:type="dcterms:W3CDTF">2026-05-22T08:45:49Z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eyJoZGlkIjoiZGQzOTAyNWM1MGEzZWMwMjNlOWNkNWIwYTEzZmIzYTYiLCJ1c2VySWQiOiIxODI4MzU3Mjg0In0=</vt:lpwstr>
  </property>
  <property fmtid="{D5CDD505-2E9C-101B-9397-08002B2CF9AE}" pid="4" name="ICV">
    <vt:lpwstr>C6300915A6AA487283587B08CC78F2E1_12</vt:lpwstr>
  </property>
</Properties>
</file>