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numPr>
          <w:numId w:val="0"/>
        </w:numPr>
        <w:kinsoku/>
        <w:overflowPunct/>
        <w:bidi w:val="0"/>
        <w:spacing w:line="360" w:lineRule="auto"/>
        <w:ind w:left="0" w:leftChars="0" w:firstLine="0" w:firstLineChars="0"/>
        <w:jc w:val="center"/>
        <w:rPr>
          <w:color w:val="auto"/>
          <w:highlight w:val="none"/>
        </w:rPr>
      </w:pPr>
      <w:bookmarkStart w:id="0" w:name="_Toc26387"/>
      <w:r>
        <w:rPr>
          <w:rFonts w:hint="eastAsia"/>
          <w:color w:val="auto"/>
          <w:highlight w:val="none"/>
        </w:rPr>
        <w:t>评标办法</w:t>
      </w:r>
      <w:bookmarkEnd w:id="0"/>
      <w:bookmarkStart w:id="1" w:name="_GoBack"/>
      <w:bookmarkEnd w:id="1"/>
    </w:p>
    <w:p>
      <w:pPr>
        <w:pStyle w:val="3"/>
        <w:keepNext/>
        <w:keepLines w:val="0"/>
        <w:widowControl w:val="0"/>
        <w:kinsoku/>
        <w:overflowPunct/>
        <w:bidi w:val="0"/>
        <w:spacing w:before="0" w:beforeAutospacing="0" w:after="120" w:afterLines="50" w:afterAutospacing="0" w:line="360" w:lineRule="auto"/>
        <w:ind w:firstLine="0" w:firstLineChars="0"/>
        <w:jc w:val="center"/>
        <w:outlineLvl w:val="3"/>
        <w:rPr>
          <w:rFonts w:hint="default" w:cs="宋体"/>
          <w:b/>
          <w:color w:val="auto"/>
          <w:sz w:val="32"/>
          <w:highlight w:val="none"/>
        </w:rPr>
      </w:pPr>
      <w:r>
        <w:rPr>
          <w:rFonts w:cs="宋体"/>
          <w:b/>
          <w:color w:val="auto"/>
          <w:sz w:val="32"/>
          <w:highlight w:val="none"/>
        </w:rPr>
        <w:t>评标办法前附表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64"/>
        <w:gridCol w:w="1629"/>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1910" w:type="dxa"/>
            <w:gridSpan w:val="2"/>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条款号</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评审因素</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2.1.1</w:t>
            </w:r>
          </w:p>
        </w:tc>
        <w:tc>
          <w:tcPr>
            <w:tcW w:w="1064"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形式评审标准</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投标人名称</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与营业执照（或事业单位法人证书）一致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签字盖章</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投标文件主要内容齐全，签字盖章符合招标文件规定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联合体投标人</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备选投标方案</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投标文件格式</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2.1.2</w:t>
            </w:r>
          </w:p>
        </w:tc>
        <w:tc>
          <w:tcPr>
            <w:tcW w:w="1064"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响应性评审标准</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投标报价</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投标函上填写的投标报价不高于招标人公布的预算价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noWrap/>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投标内容</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服务期限</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质量标准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投标有效期</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其他</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投标人不得进行分包、不存在串通投标情形等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2.1.3</w:t>
            </w:r>
          </w:p>
        </w:tc>
        <w:tc>
          <w:tcPr>
            <w:tcW w:w="1064"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资格评审标准</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营业执照或事业单位法人证书</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符合第一章第</w:t>
            </w:r>
            <w:r>
              <w:rPr>
                <w:rFonts w:hint="default" w:ascii="宋体" w:hAnsi="宋体" w:eastAsia="宋体" w:cs="宋体"/>
                <w:color w:val="auto"/>
                <w:kern w:val="2"/>
                <w:sz w:val="22"/>
                <w:szCs w:val="22"/>
                <w:highlight w:val="none"/>
                <w:lang w:val="en-US" w:eastAsia="zh-CN" w:bidi="ar-SA"/>
              </w:rPr>
              <w:t>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资质证书</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符合第一章第</w:t>
            </w:r>
            <w:r>
              <w:rPr>
                <w:rFonts w:hint="default" w:ascii="宋体" w:hAnsi="宋体" w:eastAsia="宋体" w:cs="宋体"/>
                <w:color w:val="auto"/>
                <w:kern w:val="2"/>
                <w:sz w:val="22"/>
                <w:szCs w:val="22"/>
                <w:highlight w:val="none"/>
                <w:lang w:val="en-US" w:eastAsia="zh-CN" w:bidi="ar-SA"/>
              </w:rPr>
              <w:t>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联合体投标</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本项目不接受联合体投标，符合第一章第</w:t>
            </w:r>
            <w:r>
              <w:rPr>
                <w:rFonts w:hint="default" w:ascii="宋体" w:hAnsi="宋体" w:eastAsia="宋体" w:cs="宋体"/>
                <w:color w:val="auto"/>
                <w:kern w:val="2"/>
                <w:sz w:val="22"/>
                <w:szCs w:val="22"/>
                <w:highlight w:val="none"/>
                <w:lang w:val="en-US" w:eastAsia="zh-CN" w:bidi="ar-SA"/>
              </w:rPr>
              <w:t>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其他要求</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符合第一章第</w:t>
            </w:r>
            <w:r>
              <w:rPr>
                <w:rFonts w:hint="default" w:ascii="宋体" w:hAnsi="宋体" w:eastAsia="宋体" w:cs="宋体"/>
                <w:color w:val="auto"/>
                <w:kern w:val="2"/>
                <w:sz w:val="22"/>
                <w:szCs w:val="22"/>
                <w:highlight w:val="none"/>
                <w:lang w:val="en-US" w:eastAsia="zh-CN" w:bidi="ar-SA"/>
              </w:rPr>
              <w:t>3.5项规定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10" w:type="dxa"/>
            <w:gridSpan w:val="2"/>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条款号</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评审因素</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2.2.1</w:t>
            </w:r>
          </w:p>
        </w:tc>
        <w:tc>
          <w:tcPr>
            <w:tcW w:w="1064"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leftChars="0" w:right="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详细评审（1</w:t>
            </w:r>
            <w:r>
              <w:rPr>
                <w:rFonts w:hint="default" w:ascii="宋体" w:hAnsi="宋体" w:eastAsia="宋体" w:cs="宋体"/>
                <w:color w:val="auto"/>
                <w:kern w:val="2"/>
                <w:sz w:val="22"/>
                <w:szCs w:val="22"/>
                <w:highlight w:val="none"/>
                <w:lang w:val="en-US" w:eastAsia="zh-CN" w:bidi="ar-SA"/>
              </w:rPr>
              <w:t>00</w:t>
            </w:r>
            <w:r>
              <w:rPr>
                <w:rFonts w:hint="eastAsia" w:ascii="宋体" w:hAnsi="宋体" w:eastAsia="宋体" w:cs="宋体"/>
                <w:color w:val="auto"/>
                <w:kern w:val="2"/>
                <w:sz w:val="22"/>
                <w:szCs w:val="22"/>
                <w:highlight w:val="none"/>
                <w:lang w:val="en-US" w:eastAsia="zh-CN" w:bidi="ar-SA"/>
              </w:rPr>
              <w:t>分）</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质量管理水平（</w:t>
            </w:r>
            <w:r>
              <w:rPr>
                <w:rFonts w:hint="default" w:ascii="宋体" w:hAnsi="宋体" w:eastAsia="宋体" w:cs="Times New Roman"/>
                <w:color w:val="auto"/>
                <w:kern w:val="2"/>
                <w:sz w:val="22"/>
                <w:szCs w:val="22"/>
                <w:highlight w:val="none"/>
                <w:lang w:val="en-US" w:eastAsia="zh-CN" w:bidi="ar-SA"/>
              </w:rPr>
              <w:t>40分）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评审投标人针对本项目的质量管理制度及实施情况，包括项目咨询、意见分歧解决、项目质量复核、项目质量检查、质量管理缺陷识别与整改等方面的政策与程序。</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根据投标人编制的质量管理制度及实施情况的规范性、完整性、适用性等方面进行评审：</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40</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25</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10</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工作方案</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5分）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评审投标人提供的工作方案，工作方案的内容包括但不限于：明确审计要求、按时保质完成审计工作（包括但不仅限于审计报告、管理建议书）等。</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根据投标人编制的工作方案规范性、可行性、完整性进行评审：</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5</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信息安全管理（</w:t>
            </w:r>
            <w:r>
              <w:rPr>
                <w:rFonts w:hint="default" w:ascii="宋体" w:hAnsi="宋体" w:eastAsia="宋体" w:cs="Times New Roman"/>
                <w:color w:val="auto"/>
                <w:kern w:val="2"/>
                <w:sz w:val="22"/>
                <w:szCs w:val="22"/>
                <w:highlight w:val="none"/>
                <w:lang w:val="en-US" w:eastAsia="zh-CN" w:bidi="ar-SA"/>
              </w:rPr>
              <w:t>4分）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评审投标人的信息安全管理相关制度、安全保护责任和要求、资料涉密敏感信息的管控、防范信息泄露风险的措施。</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根据投标人的信息安全管理工作的合理性、可行性、完整性进行评审：</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4</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2</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风险承担能力水平（</w:t>
            </w:r>
            <w:r>
              <w:rPr>
                <w:rFonts w:hint="default" w:ascii="宋体" w:hAnsi="宋体" w:eastAsia="宋体" w:cs="Times New Roman"/>
                <w:color w:val="auto"/>
                <w:kern w:val="2"/>
                <w:sz w:val="22"/>
                <w:szCs w:val="22"/>
                <w:highlight w:val="none"/>
                <w:lang w:val="en-US" w:eastAsia="zh-CN" w:bidi="ar-SA"/>
              </w:rPr>
              <w:t>3分）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评审投标人风险保障机制建立情况，包括职业责任保险制度建设执行或风险基金计提情况，风险防范能力等。</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根据投标人风险承担能力水平的完整性进行评审：</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2</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合理化建议（</w:t>
            </w:r>
            <w:r>
              <w:rPr>
                <w:rFonts w:hint="default" w:ascii="宋体" w:hAnsi="宋体" w:eastAsia="宋体" w:cs="Times New Roman"/>
                <w:color w:val="auto"/>
                <w:kern w:val="2"/>
                <w:sz w:val="22"/>
                <w:szCs w:val="22"/>
                <w:highlight w:val="none"/>
                <w:lang w:val="en-US" w:eastAsia="zh-CN" w:bidi="ar-SA"/>
              </w:rPr>
              <w:t>3分）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投标人结合本项目</w:t>
            </w:r>
            <w:r>
              <w:rPr>
                <w:rFonts w:hint="eastAsia" w:cs="Times New Roman"/>
                <w:color w:val="auto"/>
                <w:kern w:val="2"/>
                <w:sz w:val="22"/>
                <w:szCs w:val="22"/>
                <w:highlight w:val="none"/>
                <w:lang w:val="en-US" w:eastAsia="zh-CN" w:bidi="ar-SA"/>
              </w:rPr>
              <w:t>经济责任</w:t>
            </w:r>
            <w:r>
              <w:rPr>
                <w:rFonts w:hint="eastAsia" w:ascii="宋体" w:hAnsi="宋体" w:eastAsia="宋体" w:cs="Times New Roman"/>
                <w:color w:val="auto"/>
                <w:kern w:val="2"/>
                <w:sz w:val="22"/>
                <w:szCs w:val="22"/>
                <w:highlight w:val="none"/>
                <w:lang w:val="en-US" w:eastAsia="zh-CN" w:bidi="ar-SA"/>
              </w:rPr>
              <w:t>审计服务需求，提出的服务优化、质量保障、沟通协同、效率提升、助力企业完善内控等方面的合理化建议。</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根据投标人提出建议的合理性、针对性、可落地性方面进行评审：</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2</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企业认证</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（3分）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投标人具有有效的质量管理体系认证、环境管理体系认证、职业健康安全管理体系认证，每提供一项得1分，本项最高得3分。</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注：需提供有效期内的认证证书扫描件。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企业业绩</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w:t>
            </w:r>
            <w:r>
              <w:rPr>
                <w:rFonts w:hint="default" w:ascii="宋体" w:hAnsi="宋体" w:eastAsia="宋体" w:cs="Times New Roman"/>
                <w:color w:val="auto"/>
                <w:kern w:val="2"/>
                <w:sz w:val="22"/>
                <w:szCs w:val="22"/>
                <w:highlight w:val="none"/>
                <w:lang w:val="en-US" w:eastAsia="zh-CN" w:bidi="ar-SA"/>
              </w:rPr>
              <w:t>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根据投标人自2021年1月1日至投标截止时间止，完成过审计服务项目业绩情况进行评审：每一项得5分，最高得15分。</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（1）须提供业绩相关合同或业务约定书关键页复印件（至少包含服务内容页、金额页、签订时间页、盖章签署页）</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firstLine="440" w:firstLineChars="20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（2）时间以合同或业务约定书上的签订日期为准。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项目负责人水平（6分）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（1）项目负责人具有审计、财务会计、经济类高级（或以上）职称的，得2分；其他不得分。本小项最高得2分。</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default" w:ascii="宋体" w:hAnsi="宋体" w:eastAsia="宋体" w:cs="Times New Roman"/>
                <w:color w:val="auto"/>
                <w:kern w:val="2"/>
                <w:sz w:val="22"/>
                <w:szCs w:val="22"/>
                <w:highlight w:val="none"/>
                <w:lang w:val="en-US" w:eastAsia="zh-CN" w:bidi="ar-SA"/>
              </w:rPr>
              <w:t>（</w:t>
            </w:r>
            <w:r>
              <w:rPr>
                <w:rFonts w:hint="eastAsia" w:ascii="宋体" w:hAnsi="宋体" w:eastAsia="宋体" w:cs="Times New Roman"/>
                <w:color w:val="auto"/>
                <w:kern w:val="2"/>
                <w:sz w:val="22"/>
                <w:szCs w:val="22"/>
                <w:highlight w:val="none"/>
                <w:lang w:val="en-US" w:eastAsia="zh-CN" w:bidi="ar-SA"/>
              </w:rPr>
              <w:t>2</w:t>
            </w:r>
            <w:r>
              <w:rPr>
                <w:rFonts w:hint="default" w:ascii="宋体" w:hAnsi="宋体" w:eastAsia="宋体" w:cs="Times New Roman"/>
                <w:color w:val="auto"/>
                <w:kern w:val="2"/>
                <w:sz w:val="22"/>
                <w:szCs w:val="22"/>
                <w:highlight w:val="none"/>
                <w:lang w:val="en-US" w:eastAsia="zh-CN" w:bidi="ar-SA"/>
              </w:rPr>
              <w:t>）自2021年1月1日至投标截止时间止</w:t>
            </w: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以项目负责人身份主持过经济责任审计、物业类审计等领域的项目</w:t>
            </w: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每项得1分，本小项最高得</w:t>
            </w:r>
            <w:r>
              <w:rPr>
                <w:rFonts w:hint="eastAsia" w:ascii="宋体" w:hAnsi="宋体" w:eastAsia="宋体" w:cs="Times New Roman"/>
                <w:color w:val="auto"/>
                <w:kern w:val="2"/>
                <w:sz w:val="22"/>
                <w:szCs w:val="22"/>
                <w:highlight w:val="none"/>
                <w:lang w:val="en-US" w:eastAsia="zh-CN" w:bidi="ar-SA"/>
              </w:rPr>
              <w:t>4</w:t>
            </w:r>
            <w:r>
              <w:rPr>
                <w:rFonts w:hint="default" w:ascii="宋体" w:hAnsi="宋体" w:eastAsia="宋体" w:cs="Times New Roman"/>
                <w:color w:val="auto"/>
                <w:kern w:val="2"/>
                <w:sz w:val="22"/>
                <w:szCs w:val="22"/>
                <w:highlight w:val="none"/>
                <w:lang w:val="en-US" w:eastAsia="zh-CN" w:bidi="ar-SA"/>
              </w:rPr>
              <w:t>分。</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（1）须提供职称证书复印件；并提供近一月在投标单位（即2026年</w:t>
            </w:r>
            <w:r>
              <w:rPr>
                <w:rFonts w:hint="eastAsia" w:cs="Times New Roman"/>
                <w:color w:val="auto"/>
                <w:kern w:val="2"/>
                <w:sz w:val="22"/>
                <w:szCs w:val="22"/>
                <w:highlight w:val="none"/>
                <w:lang w:val="en-US" w:eastAsia="zh-CN" w:bidi="ar-SA"/>
              </w:rPr>
              <w:t>5</w:t>
            </w:r>
            <w:r>
              <w:rPr>
                <w:rFonts w:hint="eastAsia" w:ascii="宋体" w:hAnsi="宋体" w:eastAsia="宋体" w:cs="Times New Roman"/>
                <w:color w:val="auto"/>
                <w:kern w:val="2"/>
                <w:sz w:val="22"/>
                <w:szCs w:val="22"/>
                <w:highlight w:val="none"/>
                <w:lang w:val="en-US" w:eastAsia="zh-CN" w:bidi="ar-SA"/>
              </w:rPr>
              <w:t>月，含分公司或分支机构）的社保缴纳证明资料扫描件。</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（2）业绩相关合同或业务约定书关键页复印件（至少包含服务内容页、项目负责人、签订时间页、盖章签署页）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其他服务本项目人员（项目负责人除外）（6分）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default" w:ascii="宋体" w:hAnsi="宋体" w:eastAsia="宋体" w:cs="Times New Roman"/>
                <w:color w:val="auto"/>
                <w:kern w:val="2"/>
                <w:sz w:val="22"/>
                <w:szCs w:val="22"/>
                <w:highlight w:val="none"/>
                <w:lang w:val="en-US" w:eastAsia="zh-CN" w:bidi="ar-SA"/>
              </w:rPr>
              <w:t>其他服务本项目人员中，具有注册会计师的，每人得</w:t>
            </w:r>
            <w:r>
              <w:rPr>
                <w:rFonts w:hint="eastAsia" w:ascii="宋体" w:hAnsi="宋体" w:eastAsia="宋体" w:cs="Times New Roman"/>
                <w:color w:val="auto"/>
                <w:kern w:val="2"/>
                <w:sz w:val="22"/>
                <w:szCs w:val="22"/>
                <w:highlight w:val="none"/>
                <w:lang w:val="en-US" w:eastAsia="zh-CN" w:bidi="ar-SA"/>
              </w:rPr>
              <w:t>3</w:t>
            </w:r>
            <w:r>
              <w:rPr>
                <w:rFonts w:hint="default" w:ascii="宋体" w:hAnsi="宋体" w:eastAsia="宋体" w:cs="Times New Roman"/>
                <w:color w:val="auto"/>
                <w:kern w:val="2"/>
                <w:sz w:val="22"/>
                <w:szCs w:val="22"/>
                <w:highlight w:val="none"/>
                <w:lang w:val="en-US" w:eastAsia="zh-CN" w:bidi="ar-SA"/>
              </w:rPr>
              <w:t>分，本项最高得</w:t>
            </w:r>
            <w:r>
              <w:rPr>
                <w:rFonts w:hint="eastAsia" w:ascii="宋体" w:hAnsi="宋体" w:eastAsia="宋体" w:cs="Times New Roman"/>
                <w:color w:val="auto"/>
                <w:kern w:val="2"/>
                <w:sz w:val="22"/>
                <w:szCs w:val="22"/>
                <w:highlight w:val="none"/>
                <w:lang w:val="en-US" w:eastAsia="zh-CN" w:bidi="ar-SA"/>
              </w:rPr>
              <w:t>6</w:t>
            </w:r>
            <w:r>
              <w:rPr>
                <w:rFonts w:hint="default" w:ascii="宋体" w:hAnsi="宋体" w:eastAsia="宋体" w:cs="Times New Roman"/>
                <w:color w:val="auto"/>
                <w:kern w:val="2"/>
                <w:sz w:val="22"/>
                <w:szCs w:val="22"/>
                <w:highlight w:val="none"/>
                <w:lang w:val="en-US" w:eastAsia="zh-CN" w:bidi="ar-SA"/>
              </w:rPr>
              <w:t>分。</w:t>
            </w:r>
          </w:p>
          <w:p>
            <w:pPr>
              <w:keepNext w:val="0"/>
              <w:keepLines w:val="0"/>
              <w:widowControl w:val="0"/>
              <w:suppressLineNumbers w:val="0"/>
              <w:kinsoku/>
              <w:wordWrap w:val="0"/>
              <w:overflowPunct/>
              <w:bidi w:val="0"/>
              <w:adjustRightInd w:val="0"/>
              <w:snapToGrid w:val="0"/>
              <w:spacing w:before="0" w:beforeAutospacing="0" w:after="0" w:afterAutospacing="0" w:line="440" w:lineRule="exact"/>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default" w:ascii="宋体" w:hAnsi="宋体" w:eastAsia="宋体" w:cs="Times New Roman"/>
                <w:color w:val="auto"/>
                <w:kern w:val="2"/>
                <w:sz w:val="22"/>
                <w:szCs w:val="22"/>
                <w:highlight w:val="none"/>
                <w:lang w:val="en-US" w:eastAsia="zh-CN" w:bidi="ar-SA"/>
              </w:rPr>
              <w:t>注：须提供注册证书复印件</w:t>
            </w:r>
            <w:r>
              <w:rPr>
                <w:rFonts w:hint="eastAsia" w:cs="Times New Roman"/>
                <w:color w:val="auto"/>
                <w:kern w:val="2"/>
                <w:sz w:val="22"/>
                <w:szCs w:val="22"/>
                <w:highlight w:val="none"/>
                <w:lang w:val="en-US" w:eastAsia="zh-CN" w:bidi="ar-SA"/>
              </w:rPr>
              <w:t>，证书须注册在投标人单位；并</w:t>
            </w:r>
            <w:r>
              <w:rPr>
                <w:rFonts w:hint="default" w:ascii="宋体" w:hAnsi="宋体" w:eastAsia="宋体" w:cs="Times New Roman"/>
                <w:color w:val="auto"/>
                <w:kern w:val="2"/>
                <w:sz w:val="22"/>
                <w:szCs w:val="22"/>
                <w:highlight w:val="none"/>
                <w:lang w:val="en-US" w:eastAsia="zh-CN" w:bidi="ar-SA"/>
              </w:rPr>
              <w:t>提供近一月在投标单位（即2026年</w:t>
            </w:r>
            <w:r>
              <w:rPr>
                <w:rFonts w:hint="eastAsia" w:cs="Times New Roman"/>
                <w:color w:val="auto"/>
                <w:kern w:val="2"/>
                <w:sz w:val="22"/>
                <w:szCs w:val="22"/>
                <w:highlight w:val="none"/>
                <w:lang w:val="en-US" w:eastAsia="zh-CN" w:bidi="ar-SA"/>
              </w:rPr>
              <w:t>5</w:t>
            </w:r>
            <w:r>
              <w:rPr>
                <w:rFonts w:hint="default" w:ascii="宋体" w:hAnsi="宋体" w:eastAsia="宋体" w:cs="Times New Roman"/>
                <w:color w:val="auto"/>
                <w:kern w:val="2"/>
                <w:sz w:val="22"/>
                <w:szCs w:val="22"/>
                <w:highlight w:val="none"/>
                <w:lang w:val="en-US" w:eastAsia="zh-CN" w:bidi="ar-SA"/>
              </w:rPr>
              <w:t>月，含分公司或分支机构）的社保缴纳证明资料扫描件。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default" w:ascii="宋体" w:hAnsi="宋体" w:eastAsia="宋体" w:cs="Times New Roman"/>
                <w:color w:val="auto"/>
                <w:kern w:val="2"/>
                <w:sz w:val="22"/>
                <w:szCs w:val="24"/>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投标报价</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15分）</w:t>
            </w:r>
          </w:p>
        </w:tc>
        <w:tc>
          <w:tcPr>
            <w:tcW w:w="5520" w:type="dxa"/>
            <w:shd w:val="clear" w:color="auto" w:fill="auto"/>
            <w:vAlign w:val="center"/>
          </w:tcPr>
          <w:p>
            <w:pPr>
              <w:keepNext w:val="0"/>
              <w:keepLines w:val="0"/>
              <w:widowControl/>
              <w:suppressLineNumbers w:val="0"/>
              <w:kinsoku/>
              <w:wordWrap w:val="0"/>
              <w:overflowPunct/>
              <w:bidi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评标基准价</w:t>
            </w:r>
            <w:r>
              <w:rPr>
                <w:rFonts w:hint="default" w:ascii="宋体" w:hAnsi="宋体" w:eastAsia="宋体" w:cs="Times New Roman"/>
                <w:color w:val="auto"/>
                <w:kern w:val="2"/>
                <w:sz w:val="22"/>
                <w:szCs w:val="22"/>
                <w:highlight w:val="none"/>
                <w:lang w:val="en-US" w:eastAsia="zh-CN" w:bidi="ar-SA"/>
              </w:rPr>
              <w:t>=满足招标文件要求的所有</w:t>
            </w:r>
            <w:r>
              <w:rPr>
                <w:rFonts w:hint="eastAsia" w:ascii="宋体" w:hAnsi="宋体" w:eastAsia="宋体" w:cs="Times New Roman"/>
                <w:color w:val="auto"/>
                <w:kern w:val="2"/>
                <w:sz w:val="22"/>
                <w:szCs w:val="22"/>
                <w:highlight w:val="none"/>
                <w:lang w:val="en-US" w:eastAsia="zh-CN" w:bidi="ar-SA"/>
              </w:rPr>
              <w:t>投标</w:t>
            </w:r>
            <w:r>
              <w:rPr>
                <w:rFonts w:hint="default" w:ascii="宋体" w:hAnsi="宋体" w:eastAsia="宋体" w:cs="Times New Roman"/>
                <w:color w:val="auto"/>
                <w:kern w:val="2"/>
                <w:sz w:val="22"/>
                <w:szCs w:val="22"/>
                <w:highlight w:val="none"/>
                <w:lang w:val="en-US" w:eastAsia="zh-CN" w:bidi="ar-SA"/>
              </w:rPr>
              <w:t>报价的平均值</w:t>
            </w:r>
          </w:p>
          <w:p>
            <w:pPr>
              <w:keepNext w:val="0"/>
              <w:keepLines w:val="0"/>
              <w:widowControl/>
              <w:suppressLineNumbers w:val="0"/>
              <w:kinsoku/>
              <w:wordWrap w:val="0"/>
              <w:overflowPunct/>
              <w:bidi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报价得分</w:t>
            </w:r>
            <w:r>
              <w:rPr>
                <w:rFonts w:hint="default" w:ascii="宋体" w:hAnsi="宋体" w:eastAsia="宋体" w:cs="Times New Roman"/>
                <w:color w:val="auto"/>
                <w:kern w:val="2"/>
                <w:sz w:val="22"/>
                <w:szCs w:val="22"/>
                <w:highlight w:val="none"/>
                <w:lang w:val="en-US" w:eastAsia="zh-CN" w:bidi="ar-SA"/>
              </w:rPr>
              <w:t>=(1-|评标基准价-投标人</w:t>
            </w:r>
            <w:r>
              <w:rPr>
                <w:rFonts w:hint="eastAsia" w:ascii="宋体" w:hAnsi="宋体" w:eastAsia="宋体" w:cs="Times New Roman"/>
                <w:color w:val="auto"/>
                <w:kern w:val="2"/>
                <w:sz w:val="22"/>
                <w:szCs w:val="22"/>
                <w:highlight w:val="none"/>
                <w:lang w:val="en-US" w:eastAsia="zh-CN" w:bidi="ar-SA"/>
              </w:rPr>
              <w:t>投标</w:t>
            </w:r>
            <w:r>
              <w:rPr>
                <w:rFonts w:hint="default" w:ascii="宋体" w:hAnsi="宋体" w:eastAsia="宋体" w:cs="Times New Roman"/>
                <w:color w:val="auto"/>
                <w:kern w:val="2"/>
                <w:sz w:val="22"/>
                <w:szCs w:val="22"/>
                <w:highlight w:val="none"/>
                <w:lang w:val="en-US" w:eastAsia="zh-CN" w:bidi="ar-SA"/>
              </w:rPr>
              <w:t>报价|/评标基准价)×15</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注：投标报价得分四舍五入后，小数点后保留两位有效数。</w:t>
            </w:r>
          </w:p>
        </w:tc>
      </w:tr>
    </w:tbl>
    <w:p>
      <w:pPr>
        <w:pStyle w:val="6"/>
        <w:keepLines w:val="0"/>
        <w:kinsoku/>
        <w:overflowPunct/>
        <w:bidi w:val="0"/>
        <w:spacing w:line="360" w:lineRule="auto"/>
        <w:jc w:val="both"/>
        <w:rPr>
          <w:rFonts w:ascii="宋体" w:hAnsi="宋体" w:cs="宋体"/>
          <w:b/>
          <w:color w:val="auto"/>
          <w:highlight w:val="none"/>
        </w:rPr>
      </w:pPr>
    </w:p>
    <w:p>
      <w:pPr>
        <w:pStyle w:val="3"/>
        <w:keepLines w:val="0"/>
        <w:pageBreakBefore/>
        <w:widowControl w:val="0"/>
        <w:kinsoku/>
        <w:overflowPunct/>
        <w:bidi w:val="0"/>
        <w:spacing w:before="120" w:beforeLines="50" w:beforeAutospacing="0" w:after="0" w:afterAutospacing="0" w:line="360" w:lineRule="auto"/>
        <w:outlineLvl w:val="1"/>
        <w:rPr>
          <w:rFonts w:hint="default" w:cs="宋体"/>
          <w:b/>
          <w:color w:val="auto"/>
          <w:highlight w:val="none"/>
        </w:rPr>
      </w:pPr>
      <w:r>
        <w:rPr>
          <w:rFonts w:cs="宋体"/>
          <w:b/>
          <w:color w:val="auto"/>
          <w:highlight w:val="none"/>
        </w:rPr>
        <w:t>1.评标方法</w:t>
      </w:r>
    </w:p>
    <w:p>
      <w:pPr>
        <w:pStyle w:val="3"/>
        <w:keepLines w:val="0"/>
        <w:widowControl w:val="0"/>
        <w:kinsoku/>
        <w:overflowPunct/>
        <w:bidi w:val="0"/>
        <w:spacing w:before="0" w:beforeAutospacing="0" w:after="0" w:afterAutospacing="0" w:line="360" w:lineRule="auto"/>
        <w:ind w:firstLine="480"/>
        <w:rPr>
          <w:rFonts w:hint="default" w:cs="宋体"/>
          <w:bCs/>
          <w:color w:val="auto"/>
          <w:highlight w:val="none"/>
        </w:rPr>
      </w:pPr>
      <w:r>
        <w:rPr>
          <w:rFonts w:cs="宋体"/>
          <w:bCs/>
          <w:color w:val="auto"/>
          <w:highlight w:val="none"/>
        </w:rPr>
        <w:t>本次评标采用</w:t>
      </w:r>
      <w:r>
        <w:rPr>
          <w:rFonts w:cs="宋体"/>
          <w:b/>
          <w:bCs/>
          <w:color w:val="auto"/>
          <w:highlight w:val="none"/>
          <w:u w:val="single"/>
        </w:rPr>
        <w:t>综合评分法</w:t>
      </w:r>
      <w:r>
        <w:rPr>
          <w:rFonts w:cs="宋体"/>
          <w:bCs/>
          <w:color w:val="auto"/>
          <w:highlight w:val="none"/>
        </w:rPr>
        <w:t>。评标委员会对满足招标文件实质性要求的投标文件，按照本章第2.2款规定的评分标准进行综合评分，并按综合评分由高到低顺序推荐不超过3名中标候选人，综合评分相等时，</w:t>
      </w:r>
      <w:r>
        <w:rPr>
          <w:rFonts w:hint="eastAsia" w:cs="宋体"/>
          <w:bCs/>
          <w:color w:val="auto"/>
          <w:highlight w:val="none"/>
          <w:lang w:val="en-US" w:eastAsia="zh-CN"/>
        </w:rPr>
        <w:t>从</w:t>
      </w:r>
      <w:r>
        <w:rPr>
          <w:rFonts w:cs="宋体"/>
          <w:bCs/>
          <w:color w:val="auto"/>
          <w:highlight w:val="none"/>
        </w:rPr>
        <w:t>综合评分相等的单位中随机抽取优先确定第一中标候选人。</w:t>
      </w:r>
    </w:p>
    <w:p>
      <w:pPr>
        <w:pStyle w:val="3"/>
        <w:keepLines w:val="0"/>
        <w:widowControl w:val="0"/>
        <w:kinsoku/>
        <w:overflowPunct/>
        <w:bidi w:val="0"/>
        <w:spacing w:before="120" w:beforeLines="50" w:beforeAutospacing="0" w:after="0" w:afterAutospacing="0" w:line="360" w:lineRule="auto"/>
        <w:outlineLvl w:val="1"/>
        <w:rPr>
          <w:rFonts w:hint="default" w:cs="宋体"/>
          <w:b/>
          <w:color w:val="auto"/>
          <w:highlight w:val="none"/>
        </w:rPr>
      </w:pPr>
      <w:r>
        <w:rPr>
          <w:rFonts w:cs="宋体"/>
          <w:b/>
          <w:color w:val="auto"/>
          <w:highlight w:val="none"/>
        </w:rPr>
        <w:t>2.评审标准</w:t>
      </w:r>
    </w:p>
    <w:p>
      <w:pPr>
        <w:pStyle w:val="3"/>
        <w:keepLines w:val="0"/>
        <w:widowControl w:val="0"/>
        <w:kinsoku/>
        <w:overflowPunct/>
        <w:bidi w:val="0"/>
        <w:spacing w:before="0" w:beforeAutospacing="0" w:after="0" w:afterAutospacing="0" w:line="360" w:lineRule="auto"/>
        <w:ind w:firstLine="480"/>
        <w:rPr>
          <w:rFonts w:hint="default" w:cs="宋体"/>
          <w:bCs/>
          <w:color w:val="auto"/>
          <w:highlight w:val="none"/>
        </w:rPr>
      </w:pPr>
      <w:r>
        <w:rPr>
          <w:rFonts w:cs="宋体"/>
          <w:bCs/>
          <w:color w:val="auto"/>
          <w:highlight w:val="none"/>
        </w:rPr>
        <w:t>2.1初步评审标准</w:t>
      </w:r>
    </w:p>
    <w:p>
      <w:pPr>
        <w:pStyle w:val="3"/>
        <w:keepLines w:val="0"/>
        <w:widowControl w:val="0"/>
        <w:kinsoku/>
        <w:overflowPunct/>
        <w:bidi w:val="0"/>
        <w:spacing w:before="0" w:beforeAutospacing="0" w:after="0" w:afterAutospacing="0" w:line="360" w:lineRule="auto"/>
        <w:ind w:firstLine="480"/>
        <w:rPr>
          <w:rFonts w:hint="default" w:cs="宋体"/>
          <w:bCs/>
          <w:color w:val="auto"/>
          <w:highlight w:val="none"/>
        </w:rPr>
      </w:pPr>
      <w:r>
        <w:rPr>
          <w:rFonts w:cs="宋体"/>
          <w:bCs/>
          <w:color w:val="auto"/>
          <w:highlight w:val="none"/>
        </w:rPr>
        <w:t>2.1.1形式评审标准：见评标办法前附表。</w:t>
      </w:r>
    </w:p>
    <w:p>
      <w:pPr>
        <w:pStyle w:val="3"/>
        <w:keepLines w:val="0"/>
        <w:widowControl w:val="0"/>
        <w:kinsoku/>
        <w:overflowPunct/>
        <w:bidi w:val="0"/>
        <w:spacing w:before="0" w:beforeAutospacing="0" w:after="0" w:afterAutospacing="0" w:line="360" w:lineRule="auto"/>
        <w:ind w:firstLine="480"/>
        <w:rPr>
          <w:rFonts w:hint="default" w:cs="宋体"/>
          <w:bCs/>
          <w:color w:val="auto"/>
          <w:highlight w:val="none"/>
        </w:rPr>
      </w:pPr>
      <w:r>
        <w:rPr>
          <w:rFonts w:hint="default" w:cs="宋体"/>
          <w:bCs/>
          <w:color w:val="auto"/>
          <w:highlight w:val="none"/>
        </w:rPr>
        <w:t>2.1.2</w:t>
      </w:r>
      <w:r>
        <w:rPr>
          <w:rFonts w:cs="宋体"/>
          <w:bCs/>
          <w:color w:val="auto"/>
          <w:highlight w:val="none"/>
        </w:rPr>
        <w:t>响应性评审标准：见评标办法前附表。</w:t>
      </w:r>
    </w:p>
    <w:p>
      <w:pPr>
        <w:pStyle w:val="3"/>
        <w:keepLines w:val="0"/>
        <w:widowControl w:val="0"/>
        <w:kinsoku/>
        <w:overflowPunct/>
        <w:bidi w:val="0"/>
        <w:spacing w:before="0" w:beforeAutospacing="0" w:after="0" w:afterAutospacing="0" w:line="360" w:lineRule="auto"/>
        <w:ind w:firstLine="480"/>
        <w:rPr>
          <w:rFonts w:hint="default" w:cs="宋体"/>
          <w:bCs/>
          <w:color w:val="auto"/>
          <w:highlight w:val="none"/>
        </w:rPr>
      </w:pPr>
      <w:r>
        <w:rPr>
          <w:rFonts w:cs="宋体"/>
          <w:bCs/>
          <w:color w:val="auto"/>
          <w:highlight w:val="none"/>
        </w:rPr>
        <w:t>2.1.3资格评审标准：见评标办法前附表。</w:t>
      </w:r>
    </w:p>
    <w:p>
      <w:pPr>
        <w:pStyle w:val="3"/>
        <w:keepLines w:val="0"/>
        <w:widowControl w:val="0"/>
        <w:kinsoku/>
        <w:overflowPunct/>
        <w:bidi w:val="0"/>
        <w:spacing w:before="0" w:beforeAutospacing="0" w:after="0" w:afterAutospacing="0" w:line="360" w:lineRule="auto"/>
        <w:ind w:firstLine="480"/>
        <w:rPr>
          <w:rFonts w:hint="default" w:cs="宋体"/>
          <w:bCs/>
          <w:color w:val="auto"/>
          <w:highlight w:val="none"/>
        </w:rPr>
      </w:pPr>
      <w:r>
        <w:rPr>
          <w:rFonts w:cs="宋体"/>
          <w:bCs/>
          <w:color w:val="auto"/>
          <w:highlight w:val="none"/>
        </w:rPr>
        <w:t>2.2详细评审</w:t>
      </w:r>
    </w:p>
    <w:p>
      <w:pPr>
        <w:pStyle w:val="3"/>
        <w:keepLines w:val="0"/>
        <w:widowControl w:val="0"/>
        <w:kinsoku/>
        <w:overflowPunct/>
        <w:bidi w:val="0"/>
        <w:spacing w:before="0" w:beforeAutospacing="0" w:after="0" w:afterAutospacing="0" w:line="360" w:lineRule="auto"/>
        <w:ind w:firstLine="480"/>
        <w:rPr>
          <w:rFonts w:hint="default" w:cs="宋体"/>
          <w:bCs/>
          <w:color w:val="auto"/>
          <w:highlight w:val="none"/>
        </w:rPr>
      </w:pPr>
      <w:r>
        <w:rPr>
          <w:rFonts w:cs="宋体"/>
          <w:bCs/>
          <w:color w:val="auto"/>
          <w:highlight w:val="none"/>
        </w:rPr>
        <w:t>2.2.1分值构成与评分标准：见评标办法前附表。</w:t>
      </w:r>
    </w:p>
    <w:p>
      <w:pPr>
        <w:pStyle w:val="3"/>
        <w:keepLines w:val="0"/>
        <w:widowControl w:val="0"/>
        <w:kinsoku/>
        <w:overflowPunct/>
        <w:bidi w:val="0"/>
        <w:spacing w:before="120" w:beforeLines="50" w:beforeAutospacing="0" w:after="0" w:afterAutospacing="0" w:line="360" w:lineRule="auto"/>
        <w:outlineLvl w:val="1"/>
        <w:rPr>
          <w:rFonts w:hint="default" w:cs="宋体"/>
          <w:b/>
          <w:color w:val="auto"/>
          <w:highlight w:val="none"/>
        </w:rPr>
      </w:pPr>
      <w:r>
        <w:rPr>
          <w:rFonts w:cs="宋体"/>
          <w:b/>
          <w:color w:val="auto"/>
          <w:highlight w:val="none"/>
        </w:rPr>
        <w:t>3.评标程序</w:t>
      </w:r>
    </w:p>
    <w:p>
      <w:pPr>
        <w:keepLines w:val="0"/>
        <w:kinsoku/>
        <w:overflowPunct/>
        <w:bidi w:val="0"/>
        <w:spacing w:line="360" w:lineRule="auto"/>
        <w:rPr>
          <w:rFonts w:cs="宋体"/>
          <w:b/>
          <w:color w:val="auto"/>
          <w:highlight w:val="none"/>
        </w:rPr>
      </w:pPr>
      <w:r>
        <w:rPr>
          <w:rFonts w:hint="eastAsia" w:cs="宋体"/>
          <w:b/>
          <w:color w:val="auto"/>
          <w:highlight w:val="none"/>
        </w:rPr>
        <w:t>3.1初步评审</w:t>
      </w:r>
    </w:p>
    <w:p>
      <w:pPr>
        <w:keepLines w:val="0"/>
        <w:kinsoku/>
        <w:overflowPunct/>
        <w:bidi w:val="0"/>
        <w:spacing w:line="360" w:lineRule="auto"/>
        <w:ind w:firstLine="480"/>
        <w:rPr>
          <w:rFonts w:cs="宋体"/>
          <w:color w:val="auto"/>
          <w:highlight w:val="none"/>
        </w:rPr>
      </w:pPr>
      <w:r>
        <w:rPr>
          <w:rFonts w:hint="eastAsia" w:cs="宋体"/>
          <w:color w:val="auto"/>
          <w:highlight w:val="none"/>
        </w:rPr>
        <w:t>3.1.1评标委员会依据本章第2.1.1及2.1.2条规定的标准，对投标文件进行形式评审与响应性评审。有一项不符合评审标准的，评标委员会应当否决其投标。</w:t>
      </w:r>
    </w:p>
    <w:p>
      <w:pPr>
        <w:keepLines w:val="0"/>
        <w:kinsoku/>
        <w:overflowPunct/>
        <w:bidi w:val="0"/>
        <w:spacing w:line="360" w:lineRule="auto"/>
        <w:ind w:firstLine="480"/>
        <w:rPr>
          <w:rFonts w:cs="宋体"/>
          <w:color w:val="auto"/>
          <w:highlight w:val="none"/>
        </w:rPr>
      </w:pPr>
      <w:r>
        <w:rPr>
          <w:rFonts w:hint="eastAsia" w:cs="宋体"/>
          <w:color w:val="auto"/>
          <w:highlight w:val="none"/>
        </w:rPr>
        <w:t>3.1.2资格评审标准：评标委员会依据本章第2.1.3条规定的标准，对通过形式评审与响应性评审的投标文件进行资格评审。有一项不符合评审标准的，评标委员会应当否决其投标。</w:t>
      </w:r>
    </w:p>
    <w:p>
      <w:pPr>
        <w:keepLines w:val="0"/>
        <w:kinsoku/>
        <w:overflowPunct/>
        <w:bidi w:val="0"/>
        <w:spacing w:line="360" w:lineRule="auto"/>
        <w:rPr>
          <w:rFonts w:cs="宋体"/>
          <w:b/>
          <w:color w:val="auto"/>
          <w:highlight w:val="none"/>
        </w:rPr>
      </w:pPr>
      <w:r>
        <w:rPr>
          <w:rFonts w:hint="eastAsia" w:cs="宋体"/>
          <w:b/>
          <w:color w:val="auto"/>
          <w:highlight w:val="none"/>
        </w:rPr>
        <w:t>3.2详细评审</w:t>
      </w:r>
    </w:p>
    <w:p>
      <w:pPr>
        <w:keepLines w:val="0"/>
        <w:kinsoku/>
        <w:overflowPunct/>
        <w:bidi w:val="0"/>
        <w:spacing w:line="360" w:lineRule="auto"/>
        <w:ind w:firstLine="480"/>
        <w:rPr>
          <w:rFonts w:cs="宋体"/>
          <w:color w:val="auto"/>
          <w:highlight w:val="none"/>
        </w:rPr>
      </w:pPr>
      <w:r>
        <w:rPr>
          <w:rFonts w:hint="eastAsia" w:cs="宋体"/>
          <w:color w:val="auto"/>
          <w:highlight w:val="none"/>
        </w:rPr>
        <w:t>评标委员会依据本章详细评审标准，对通过资格评审的投标人进行详细评审。评审因素得分以评标委员会的评分去高去低后的</w:t>
      </w:r>
      <w:r>
        <w:rPr>
          <w:rFonts w:hint="eastAsia" w:cs="宋体"/>
          <w:color w:val="auto"/>
          <w:highlight w:val="none"/>
          <w:lang w:val="en-US" w:eastAsia="zh-CN"/>
        </w:rPr>
        <w:t>算术</w:t>
      </w:r>
      <w:r>
        <w:rPr>
          <w:rFonts w:hint="eastAsia" w:cs="宋体"/>
          <w:color w:val="auto"/>
          <w:highlight w:val="none"/>
        </w:rPr>
        <w:t>平均值；综合评分为各评审因素得分之和计算，结果四舍五入保留2</w:t>
      </w:r>
      <w:r>
        <w:rPr>
          <w:rFonts w:hint="eastAsia" w:cs="宋体"/>
          <w:color w:val="auto"/>
          <w:highlight w:val="none"/>
          <w:lang w:val="en-US" w:eastAsia="zh-CN"/>
        </w:rPr>
        <w:t>位</w:t>
      </w:r>
      <w:r>
        <w:rPr>
          <w:rFonts w:hint="eastAsia" w:cs="宋体"/>
          <w:color w:val="auto"/>
          <w:highlight w:val="none"/>
        </w:rPr>
        <w:t>小数。</w:t>
      </w:r>
    </w:p>
    <w:p>
      <w:pPr>
        <w:keepLines w:val="0"/>
        <w:kinsoku/>
        <w:overflowPunct/>
        <w:bidi w:val="0"/>
        <w:spacing w:line="360" w:lineRule="auto"/>
        <w:rPr>
          <w:rFonts w:cs="宋体"/>
          <w:b/>
          <w:color w:val="auto"/>
          <w:highlight w:val="none"/>
        </w:rPr>
      </w:pPr>
      <w:r>
        <w:rPr>
          <w:rFonts w:hint="eastAsia" w:cs="宋体"/>
          <w:b/>
          <w:color w:val="auto"/>
          <w:highlight w:val="none"/>
        </w:rPr>
        <w:t>3.3投标文件的澄清和补正</w:t>
      </w:r>
    </w:p>
    <w:p>
      <w:pPr>
        <w:keepLines w:val="0"/>
        <w:kinsoku/>
        <w:overflowPunct/>
        <w:bidi w:val="0"/>
        <w:spacing w:line="360" w:lineRule="auto"/>
        <w:ind w:firstLine="480"/>
        <w:rPr>
          <w:rFonts w:cs="宋体"/>
          <w:color w:val="auto"/>
          <w:highlight w:val="none"/>
        </w:rPr>
      </w:pPr>
      <w:r>
        <w:rPr>
          <w:rFonts w:hint="eastAsia" w:cs="宋体"/>
          <w:color w:val="auto"/>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keepLines w:val="0"/>
        <w:kinsoku/>
        <w:overflowPunct/>
        <w:bidi w:val="0"/>
        <w:spacing w:line="360" w:lineRule="auto"/>
        <w:ind w:firstLine="480"/>
        <w:rPr>
          <w:rFonts w:cs="宋体"/>
          <w:color w:val="auto"/>
          <w:highlight w:val="none"/>
        </w:rPr>
      </w:pPr>
      <w:r>
        <w:rPr>
          <w:rFonts w:hint="eastAsia" w:cs="宋体"/>
          <w:color w:val="auto"/>
          <w:highlight w:val="none"/>
        </w:rPr>
        <w:t>3.3.2澄清、说明和补正不得改变投标文件的实质性内容。投标人的书面澄清、说明和补正属于投标文件的组成部分。</w:t>
      </w:r>
    </w:p>
    <w:p>
      <w:pPr>
        <w:keepLines w:val="0"/>
        <w:kinsoku/>
        <w:overflowPunct/>
        <w:bidi w:val="0"/>
        <w:spacing w:line="360" w:lineRule="auto"/>
        <w:ind w:firstLine="480"/>
        <w:rPr>
          <w:rFonts w:cs="宋体"/>
          <w:color w:val="auto"/>
          <w:highlight w:val="none"/>
        </w:rPr>
      </w:pPr>
      <w:r>
        <w:rPr>
          <w:rFonts w:hint="eastAsia" w:cs="宋体"/>
          <w:color w:val="auto"/>
          <w:highlight w:val="none"/>
        </w:rPr>
        <w:t>3.3.3评标委员会对投标人提交的澄清、说明或补正有疑问的，可以要求投标人进一步澄清、说明或补正，直至满足评标委员会的要求。</w:t>
      </w:r>
    </w:p>
    <w:p>
      <w:pPr>
        <w:keepLines w:val="0"/>
        <w:kinsoku/>
        <w:overflowPunct/>
        <w:bidi w:val="0"/>
        <w:spacing w:line="360" w:lineRule="auto"/>
        <w:ind w:firstLine="480"/>
        <w:rPr>
          <w:rFonts w:cs="宋体"/>
          <w:color w:val="auto"/>
          <w:highlight w:val="none"/>
        </w:rPr>
      </w:pPr>
      <w:r>
        <w:rPr>
          <w:rFonts w:hint="eastAsia" w:cs="宋体"/>
          <w:color w:val="auto"/>
          <w:highlight w:val="none"/>
        </w:rPr>
        <w:t>3.3.4凡超出招标文件规定的或给发包人带来未曾要求的利益的变化、偏差或其他因素在评标时不予考虑。</w:t>
      </w:r>
    </w:p>
    <w:p>
      <w:pPr>
        <w:keepLines w:val="0"/>
        <w:kinsoku/>
        <w:overflowPunct/>
        <w:bidi w:val="0"/>
        <w:spacing w:line="360" w:lineRule="auto"/>
        <w:rPr>
          <w:rFonts w:cs="宋体"/>
          <w:b/>
          <w:color w:val="auto"/>
          <w:highlight w:val="none"/>
        </w:rPr>
      </w:pPr>
      <w:r>
        <w:rPr>
          <w:rFonts w:hint="eastAsia" w:cs="宋体"/>
          <w:b/>
          <w:color w:val="auto"/>
          <w:highlight w:val="none"/>
        </w:rPr>
        <w:t>3.4推荐中标候选人</w:t>
      </w:r>
    </w:p>
    <w:p>
      <w:pPr>
        <w:keepLines w:val="0"/>
        <w:kinsoku/>
        <w:overflowPunct/>
        <w:bidi w:val="0"/>
        <w:spacing w:line="360" w:lineRule="auto"/>
        <w:ind w:firstLine="480"/>
        <w:rPr>
          <w:rFonts w:cs="宋体"/>
          <w:color w:val="auto"/>
          <w:highlight w:val="none"/>
        </w:rPr>
      </w:pPr>
      <w:r>
        <w:rPr>
          <w:rFonts w:hint="eastAsia" w:cs="宋体"/>
          <w:color w:val="auto"/>
          <w:highlight w:val="none"/>
        </w:rPr>
        <w:t>评标委员会按照投标人综合得分由高至低排序，综合得分最高的为第一中标候选人，综合得分次</w:t>
      </w:r>
      <w:r>
        <w:rPr>
          <w:rFonts w:hint="eastAsia" w:cs="宋体"/>
          <w:color w:val="auto"/>
          <w:highlight w:val="none"/>
          <w:lang w:eastAsia="zh-CN"/>
        </w:rPr>
        <w:t>高</w:t>
      </w:r>
      <w:r>
        <w:rPr>
          <w:rFonts w:hint="eastAsia" w:cs="宋体"/>
          <w:color w:val="auto"/>
          <w:highlight w:val="none"/>
        </w:rPr>
        <w:t>的为第二中标候选人，以此类推，共推荐三名中标候选人。综合得分相同的投标文件，以报价较低的排前；报价均相同的投标文件，由评标委员会采用投票方式，确定投标人的排序，推荐前3名依次为第一中标候选人至第三中标候选人,并编制评标报告。</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D6852"/>
    <w:multiLevelType w:val="multilevel"/>
    <w:tmpl w:val="616D6852"/>
    <w:lvl w:ilvl="0" w:tentative="0">
      <w:start w:val="1"/>
      <w:numFmt w:val="chineseCountingThousand"/>
      <w:pStyle w:val="2"/>
      <w:suff w:val="nothing"/>
      <w:lvlText w:val="第%1章　"/>
      <w:lvlJc w:val="left"/>
      <w:pPr>
        <w:ind w:left="0" w:firstLine="0"/>
      </w:pPr>
      <w:rPr>
        <w:rFonts w:hint="eastAsia" w:ascii="宋体" w:hAnsi="宋体" w:eastAsia="宋体"/>
        <w:b/>
        <w:i w:val="0"/>
        <w:caps w:val="0"/>
        <w:strike w:val="0"/>
        <w:dstrike w:val="0"/>
        <w:vanish w:val="0"/>
        <w:color w:val="auto"/>
        <w:vertAlign w:val="baseline"/>
      </w:rPr>
    </w:lvl>
    <w:lvl w:ilvl="1" w:tentative="0">
      <w:start w:val="1"/>
      <w:numFmt w:val="chineseCountingThousand"/>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0" w:firstLine="0"/>
      </w:pPr>
      <w:rPr>
        <w:rFonts w:hint="eastAsia" w:ascii="宋体" w:hAnsi="宋体" w:eastAsia="宋体"/>
      </w:rPr>
    </w:lvl>
    <w:lvl w:ilvl="3" w:tentative="0">
      <w:start w:val="1"/>
      <w:numFmt w:val="decimal"/>
      <w:suff w:val="nothing"/>
      <w:lvlText w:val="%4. "/>
      <w:lvlJc w:val="left"/>
      <w:pPr>
        <w:ind w:left="0" w:firstLine="0"/>
      </w:pPr>
      <w:rPr>
        <w:rFonts w:hint="eastAsia" w:ascii="宋体" w:hAnsi="宋体" w:eastAsia="宋体"/>
      </w:rPr>
    </w:lvl>
    <w:lvl w:ilvl="4" w:tentative="0">
      <w:start w:val="1"/>
      <w:numFmt w:val="decimal"/>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zMzZjI3MWEwYzYwMjU3NzJjMGI5NGVkYjAwMWIifQ=="/>
  </w:docVars>
  <w:rsids>
    <w:rsidRoot w:val="00000000"/>
    <w:rsid w:val="0E34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djustRightInd w:val="0"/>
      <w:snapToGrid w:val="0"/>
      <w:spacing w:line="312" w:lineRule="auto"/>
      <w:ind w:firstLine="482" w:firstLineChars="200"/>
      <w:jc w:val="both"/>
    </w:pPr>
    <w:rPr>
      <w:rFonts w:ascii="宋体" w:hAnsi="宋体" w:eastAsia="宋体" w:cs="Times New Roman"/>
      <w:kern w:val="2"/>
      <w:sz w:val="24"/>
      <w:szCs w:val="24"/>
      <w:lang w:val="en-US" w:eastAsia="zh-CN" w:bidi="ar-SA"/>
    </w:rPr>
  </w:style>
  <w:style w:type="paragraph" w:styleId="2">
    <w:name w:val="heading 1"/>
    <w:next w:val="1"/>
    <w:qFormat/>
    <w:uiPriority w:val="0"/>
    <w:pPr>
      <w:pageBreakBefore/>
      <w:widowControl w:val="0"/>
      <w:numPr>
        <w:ilvl w:val="0"/>
        <w:numId w:val="1"/>
      </w:numPr>
      <w:wordWrap w:val="0"/>
      <w:adjustRightInd w:val="0"/>
      <w:snapToGrid w:val="0"/>
      <w:spacing w:before="240" w:after="240" w:line="288" w:lineRule="auto"/>
      <w:jc w:val="center"/>
      <w:outlineLvl w:val="0"/>
    </w:pPr>
    <w:rPr>
      <w:rFonts w:ascii="宋体" w:hAnsi="宋体" w:eastAsia="宋体" w:cs="Times New Roman"/>
      <w:b/>
      <w:sz w:val="32"/>
      <w:szCs w:val="36"/>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hint="eastAsia"/>
    </w:rPr>
  </w:style>
  <w:style w:type="paragraph" w:customStyle="1" w:styleId="6">
    <w:name w:val="表格文字"/>
    <w:basedOn w:val="1"/>
    <w:qFormat/>
    <w:uiPriority w:val="0"/>
    <w:pPr>
      <w:autoSpaceDE w:val="0"/>
      <w:autoSpaceDN w:val="0"/>
      <w:jc w:val="center"/>
      <w:textAlignment w:val="center"/>
    </w:pPr>
    <w:rPr>
      <w:rFonts w:ascii="Arial" w:hAnsi="Arial"/>
      <w:bCs/>
      <w:snapToGrid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2026-06-05T02:39:25Z</dcterms:created>
  <dc:creator>Acer</dc:creator>
  <cp:lastModifiedBy>wry</cp:lastModifiedBy>
  <dcterms:modified xsi:type="dcterms:W3CDTF">2026-06-05T02:40:28Z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C020EE645BAB4342AA2B91F948E58A7E_12</vt:lpwstr>
  </property>
</Properties>
</file>