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numId w:val="0"/>
        </w:numPr>
        <w:kinsoku/>
        <w:overflowPunct/>
        <w:bidi w:val="0"/>
        <w:spacing w:line="360" w:lineRule="auto"/>
        <w:ind w:left="0" w:leftChars="0" w:firstLine="0" w:firstLineChars="0"/>
        <w:rPr>
          <w:szCs w:val="32"/>
        </w:rPr>
      </w:pPr>
      <w:bookmarkStart w:id="0" w:name="_Toc974"/>
      <w:r>
        <w:rPr>
          <w:rFonts w:hint="eastAsia"/>
        </w:rPr>
        <w:t>项目需求书</w:t>
      </w:r>
      <w:bookmarkEnd w:id="0"/>
      <w:bookmarkStart w:id="2" w:name="_GoBack"/>
      <w:bookmarkEnd w:id="2"/>
    </w:p>
    <w:p>
      <w:pPr>
        <w:pStyle w:val="3"/>
        <w:keepLines w:val="0"/>
        <w:numPr>
          <w:ilvl w:val="1"/>
          <w:numId w:val="3"/>
        </w:numPr>
        <w:kinsoku/>
        <w:overflowPunct/>
        <w:bidi w:val="0"/>
        <w:spacing w:afterLines="0" w:line="360" w:lineRule="auto"/>
        <w:rPr>
          <w:rFonts w:hint="default"/>
          <w:color w:val="auto"/>
          <w:sz w:val="24"/>
          <w:szCs w:val="32"/>
        </w:rPr>
      </w:pPr>
      <w:r>
        <w:rPr>
          <w:rFonts w:hint="eastAsia"/>
          <w:color w:val="auto"/>
          <w:sz w:val="24"/>
          <w:szCs w:val="32"/>
          <w:lang w:eastAsia="zh-CN"/>
        </w:rPr>
        <w:t>、</w:t>
      </w:r>
      <w:r>
        <w:rPr>
          <w:rFonts w:hint="default"/>
          <w:color w:val="auto"/>
          <w:sz w:val="24"/>
          <w:szCs w:val="32"/>
        </w:rPr>
        <w:t>项目概况</w:t>
      </w:r>
    </w:p>
    <w:p>
      <w:pPr>
        <w:pStyle w:val="3"/>
        <w:keepLines w:val="0"/>
        <w:numPr>
          <w:ilvl w:val="-1"/>
          <w:numId w:val="0"/>
        </w:numPr>
        <w:kinsoku/>
        <w:overflowPunct/>
        <w:bidi w:val="0"/>
        <w:spacing w:afterLines="0" w:line="360" w:lineRule="auto"/>
        <w:ind w:firstLine="480" w:firstLineChars="200"/>
        <w:rPr>
          <w:rFonts w:hint="default"/>
          <w:b w:val="0"/>
          <w:bCs w:val="0"/>
          <w:color w:val="auto"/>
          <w:sz w:val="24"/>
          <w:szCs w:val="32"/>
        </w:rPr>
      </w:pPr>
      <w:r>
        <w:rPr>
          <w:rFonts w:hint="default"/>
          <w:b w:val="0"/>
          <w:bCs w:val="0"/>
          <w:color w:val="auto"/>
          <w:sz w:val="24"/>
          <w:szCs w:val="32"/>
        </w:rPr>
        <w:t>根据《党政主要领导干部和国有企事业单位主要领导人员经济责任审计规定》，结合集团人员调整任用情况，拟对孙斌、沈怀忠、张健宏、何泽芬、李琦瑧、陈渝山、刘道华、林钦铭等8位下属企业原主要负责人开展离任经济责任审计。</w:t>
      </w:r>
    </w:p>
    <w:p>
      <w:pPr>
        <w:pStyle w:val="3"/>
        <w:keepLines w:val="0"/>
        <w:numPr>
          <w:ilvl w:val="1"/>
          <w:numId w:val="3"/>
        </w:numPr>
        <w:kinsoku/>
        <w:overflowPunct/>
        <w:bidi w:val="0"/>
        <w:spacing w:afterLines="0" w:line="360" w:lineRule="auto"/>
        <w:rPr>
          <w:rFonts w:hint="default"/>
          <w:color w:val="auto"/>
          <w:sz w:val="24"/>
          <w:szCs w:val="32"/>
        </w:rPr>
      </w:pPr>
      <w:r>
        <w:rPr>
          <w:rFonts w:hint="default"/>
          <w:color w:val="auto"/>
          <w:sz w:val="24"/>
          <w:szCs w:val="32"/>
        </w:rPr>
        <w:t>、审计期间</w:t>
      </w:r>
    </w:p>
    <w:p>
      <w:pPr>
        <w:keepLines w:val="0"/>
        <w:kinsoku/>
        <w:overflowPunct/>
        <w:bidi w:val="0"/>
        <w:spacing w:beforeLines="0" w:afterLines="0" w:line="360" w:lineRule="auto"/>
        <w:ind w:left="0" w:firstLine="480" w:firstLineChars="100"/>
        <w:outlineLvl w:val="0"/>
        <w:rPr>
          <w:rFonts w:hint="default"/>
          <w:color w:val="auto"/>
          <w:sz w:val="24"/>
          <w:szCs w:val="24"/>
        </w:rPr>
      </w:pPr>
      <w:bookmarkStart w:id="1" w:name="_Toc9240"/>
      <w:r>
        <w:rPr>
          <w:rFonts w:hint="default"/>
          <w:color w:val="auto"/>
          <w:spacing w:val="120"/>
          <w:kern w:val="0"/>
          <w:sz w:val="24"/>
          <w:szCs w:val="24"/>
          <w:fitText w:val="720" w:id="450446102"/>
        </w:rPr>
        <w:t>孙</w:t>
      </w:r>
      <w:r>
        <w:rPr>
          <w:rFonts w:hint="default"/>
          <w:color w:val="auto"/>
          <w:spacing w:val="0"/>
          <w:kern w:val="0"/>
          <w:sz w:val="24"/>
          <w:szCs w:val="24"/>
          <w:fitText w:val="720" w:id="450446102"/>
        </w:rPr>
        <w:t>斌</w:t>
      </w:r>
      <w:r>
        <w:rPr>
          <w:rFonts w:hint="default"/>
          <w:color w:val="auto"/>
          <w:sz w:val="24"/>
          <w:szCs w:val="24"/>
        </w:rPr>
        <w:t>：2019年05月01日至2025年12月12日。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沈怀忠：2021年02月04日至2025年12月03日。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张健宏：2019年11月01日至2022年06月10日。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何泽芬：2022年06月10日至2025年03月21日。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李琦瑧：2019年11月01日至2025年09月11日。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陈渝山：2024年04月01日至2025年03月21日。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刘道华：2019年05月01日至2023年09月25日。</w:t>
      </w:r>
    </w:p>
    <w:p>
      <w:pPr>
        <w:keepLines w:val="0"/>
        <w:kinsoku/>
        <w:overflowPunct/>
        <w:bidi w:val="0"/>
        <w:spacing w:beforeLines="0" w:afterLines="0" w:line="360" w:lineRule="auto"/>
        <w:ind w:left="-10" w:firstLine="480"/>
        <w:outlineLvl w:val="0"/>
        <w:rPr>
          <w:rFonts w:hint="default"/>
          <w:color w:val="auto"/>
          <w:sz w:val="24"/>
          <w:szCs w:val="24"/>
        </w:rPr>
      </w:pPr>
      <w:r>
        <w:rPr>
          <w:rFonts w:hint="default"/>
          <w:color w:val="auto"/>
          <w:sz w:val="24"/>
          <w:szCs w:val="24"/>
        </w:rPr>
        <w:t>林钦铭：2023年09月25日至2024年02月23日。</w:t>
      </w:r>
    </w:p>
    <w:bookmarkEnd w:id="1"/>
    <w:p>
      <w:pPr>
        <w:pStyle w:val="3"/>
        <w:keepLines w:val="0"/>
        <w:numPr>
          <w:ilvl w:val="1"/>
          <w:numId w:val="3"/>
        </w:numPr>
        <w:kinsoku/>
        <w:overflowPunct/>
        <w:bidi w:val="0"/>
        <w:spacing w:afterLines="0" w:line="360" w:lineRule="auto"/>
        <w:rPr>
          <w:rFonts w:hint="default"/>
          <w:color w:val="auto"/>
          <w:sz w:val="24"/>
          <w:szCs w:val="32"/>
        </w:rPr>
      </w:pPr>
      <w:r>
        <w:rPr>
          <w:rFonts w:hint="default"/>
          <w:color w:val="auto"/>
          <w:sz w:val="24"/>
          <w:szCs w:val="32"/>
        </w:rPr>
        <w:t>、服务内容及要求</w:t>
      </w:r>
    </w:p>
    <w:p>
      <w:pPr>
        <w:keepLines w:val="0"/>
        <w:numPr>
          <w:ilvl w:val="0"/>
          <w:numId w:val="0"/>
        </w:numPr>
        <w:kinsoku/>
        <w:overflowPunct/>
        <w:bidi w:val="0"/>
        <w:spacing w:beforeLines="0" w:afterLines="0" w:line="360" w:lineRule="auto"/>
        <w:ind w:firstLine="480"/>
        <w:rPr>
          <w:rFonts w:hint="default"/>
          <w:color w:val="auto"/>
          <w:sz w:val="24"/>
          <w:szCs w:val="24"/>
          <w:lang w:val="en-US" w:eastAsia="zh-CN"/>
        </w:rPr>
      </w:pPr>
      <w:r>
        <w:rPr>
          <w:rFonts w:hint="eastAsia" w:ascii="宋体" w:hAnsi="宋体" w:eastAsia="宋体" w:cs="Times New Roman"/>
          <w:color w:val="auto"/>
          <w:kern w:val="2"/>
          <w:sz w:val="24"/>
          <w:szCs w:val="24"/>
          <w:lang w:val="en-US" w:eastAsia="zh-CN" w:bidi="ar-SA"/>
        </w:rPr>
        <w:t>（一）</w:t>
      </w:r>
      <w:r>
        <w:rPr>
          <w:rFonts w:hint="default"/>
          <w:color w:val="auto"/>
          <w:sz w:val="24"/>
          <w:szCs w:val="24"/>
          <w:lang w:val="en-US" w:eastAsia="zh-CN"/>
        </w:rPr>
        <w:t>审计对象</w:t>
      </w:r>
    </w:p>
    <w:tbl>
      <w:tblPr>
        <w:tblStyle w:val="4"/>
        <w:tblpPr w:leftFromText="180" w:rightFromText="180" w:vertAnchor="text" w:horzAnchor="page" w:tblpX="1565" w:tblpY="691"/>
        <w:tblOverlap w:val="never"/>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6098"/>
        <w:gridCol w:w="1081"/>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6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企业及职务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姓名</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rPr>
              <w:t>广州市白云城市建设投资有限公司原法定代表人、董事</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90"/>
                <w:kern w:val="0"/>
                <w:sz w:val="24"/>
                <w:szCs w:val="24"/>
                <w:u w:val="none"/>
                <w:fitText w:val="660" w:id="1990594318"/>
              </w:rPr>
              <w:t>孙</w:t>
            </w:r>
            <w:r>
              <w:rPr>
                <w:rFonts w:hint="eastAsia" w:ascii="仿宋_GB2312" w:hAnsi="仿宋_GB2312" w:eastAsia="仿宋_GB2312" w:cs="仿宋_GB2312"/>
                <w:i w:val="0"/>
                <w:iCs w:val="0"/>
                <w:color w:val="000000"/>
                <w:spacing w:val="0"/>
                <w:kern w:val="0"/>
                <w:sz w:val="24"/>
                <w:szCs w:val="24"/>
                <w:u w:val="none"/>
                <w:fitText w:val="660" w:id="1990594318"/>
              </w:rPr>
              <w:t>斌</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rPr>
              <w:t>广州市白云建设工程质量检测有限公司</w:t>
            </w:r>
            <w:r>
              <w:rPr>
                <w:rFonts w:hint="eastAsia" w:ascii="仿宋_GB2312" w:hAnsi="仿宋_GB2312" w:eastAsia="仿宋_GB2312" w:cs="仿宋_GB2312"/>
                <w:i w:val="0"/>
                <w:iCs w:val="0"/>
                <w:color w:val="000000"/>
                <w:sz w:val="24"/>
                <w:szCs w:val="24"/>
                <w:u w:val="none"/>
                <w:lang w:val="en-US" w:eastAsia="zh-CN"/>
              </w:rPr>
              <w:t>原</w:t>
            </w:r>
            <w:r>
              <w:rPr>
                <w:rFonts w:hint="eastAsia" w:ascii="仿宋_GB2312" w:hAnsi="仿宋_GB2312" w:eastAsia="仿宋_GB2312" w:cs="仿宋_GB2312"/>
                <w:i w:val="0"/>
                <w:iCs w:val="0"/>
                <w:color w:val="000000"/>
                <w:sz w:val="24"/>
                <w:szCs w:val="24"/>
                <w:u w:val="none"/>
              </w:rPr>
              <w:t>法定代表人、</w:t>
            </w:r>
            <w:r>
              <w:rPr>
                <w:rFonts w:hint="eastAsia" w:ascii="仿宋_GB2312" w:hAnsi="仿宋_GB2312" w:eastAsia="仿宋_GB2312" w:cs="仿宋_GB2312"/>
                <w:i w:val="0"/>
                <w:iCs w:val="0"/>
                <w:color w:val="000000"/>
                <w:sz w:val="24"/>
                <w:szCs w:val="24"/>
                <w:u w:val="none"/>
                <w:lang w:val="en-US" w:eastAsia="zh-CN"/>
              </w:rPr>
              <w:t>董事</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沈怀忠</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已调任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广州市拓进城建开发有限公司</w:t>
            </w:r>
            <w:r>
              <w:rPr>
                <w:rFonts w:hint="eastAsia" w:ascii="仿宋_GB2312" w:hAnsi="仿宋_GB2312" w:eastAsia="仿宋_GB2312" w:cs="仿宋_GB2312"/>
                <w:i w:val="0"/>
                <w:iCs w:val="0"/>
                <w:color w:val="000000"/>
                <w:kern w:val="0"/>
                <w:sz w:val="24"/>
                <w:szCs w:val="24"/>
                <w:u w:val="none"/>
                <w:lang w:val="en-US" w:eastAsia="zh-CN" w:bidi="ar"/>
              </w:rPr>
              <w:t>（曾用名：广州市白云区城镇建设开发总公司石井分公司）原法定代表人、总经理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张健宏</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广州市拓进城建开发有限公司（曾用名：广州市白云区城镇建设开发总公司石井分公司）</w:t>
            </w:r>
            <w:r>
              <w:rPr>
                <w:rFonts w:hint="eastAsia" w:ascii="仿宋_GB2312" w:hAnsi="仿宋_GB2312" w:eastAsia="仿宋_GB2312" w:cs="仿宋_GB2312"/>
                <w:i w:val="0"/>
                <w:iCs w:val="0"/>
                <w:color w:val="000000"/>
                <w:kern w:val="0"/>
                <w:sz w:val="24"/>
                <w:szCs w:val="24"/>
                <w:u w:val="none"/>
                <w:lang w:val="en-US" w:eastAsia="zh-CN" w:bidi="ar"/>
              </w:rPr>
              <w:t>原执行董事、总经理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何泽芬</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已双开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广州市石井水泥厂</w:t>
            </w:r>
            <w:r>
              <w:rPr>
                <w:rFonts w:hint="eastAsia" w:ascii="仿宋_GB2312" w:hAnsi="仿宋_GB2312" w:eastAsia="仿宋_GB2312" w:cs="仿宋_GB2312"/>
                <w:i w:val="0"/>
                <w:iCs w:val="0"/>
                <w:color w:val="000000"/>
                <w:sz w:val="24"/>
                <w:szCs w:val="24"/>
                <w:u w:val="none"/>
                <w:lang w:val="en-US" w:eastAsia="zh-CN"/>
              </w:rPr>
              <w:t>有限公司原法定代表人、董事、</w:t>
            </w:r>
            <w:r>
              <w:rPr>
                <w:rFonts w:hint="eastAsia" w:ascii="仿宋_GB2312" w:hAnsi="仿宋_GB2312" w:eastAsia="仿宋_GB2312" w:cs="仿宋_GB2312"/>
                <w:i w:val="0"/>
                <w:iCs w:val="0"/>
                <w:color w:val="000000"/>
                <w:kern w:val="0"/>
                <w:sz w:val="24"/>
                <w:szCs w:val="24"/>
                <w:u w:val="none"/>
                <w:lang w:val="en-US" w:eastAsia="zh-CN" w:bidi="ar"/>
              </w:rPr>
              <w:t>总经理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rPr>
              <w:t>李琦瑧</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已双开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广州设计之都投资运营有限公司原法定代表人、总经理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陈渝山</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已调任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广州市白云投资开发有限公司原法定代表人、董事长</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刘道华</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已调离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6098" w:type="dxa"/>
            <w:tcBorders>
              <w:top w:val="single" w:color="000000" w:sz="4" w:space="0"/>
              <w:left w:val="nil"/>
              <w:bottom w:val="single" w:color="000000" w:sz="4" w:space="0"/>
              <w:right w:val="single" w:color="000000" w:sz="4" w:space="0"/>
            </w:tcBorders>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广州市白云投资开发有限公司原总经理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林钦铭</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已调离</w:t>
            </w:r>
          </w:p>
        </w:tc>
      </w:tr>
    </w:tbl>
    <w:p>
      <w:pPr>
        <w:keepLines w:val="0"/>
        <w:kinsoku/>
        <w:overflowPunct/>
        <w:bidi w:val="0"/>
        <w:spacing w:beforeLines="0" w:afterLines="0" w:line="360" w:lineRule="auto"/>
        <w:ind w:firstLine="480"/>
        <w:rPr>
          <w:rFonts w:hint="default"/>
          <w:color w:val="auto"/>
          <w:sz w:val="24"/>
          <w:szCs w:val="24"/>
          <w:lang w:val="en-US" w:eastAsia="zh-CN"/>
        </w:rPr>
      </w:pPr>
      <w:r>
        <w:rPr>
          <w:rFonts w:hint="default"/>
          <w:color w:val="auto"/>
          <w:sz w:val="24"/>
          <w:szCs w:val="24"/>
        </w:rPr>
        <w:t>对以下8位下属企业原主要负责人开展离任经济责任审计（涉及6家企业）：</w:t>
      </w:r>
    </w:p>
    <w:p>
      <w:pPr>
        <w:keepLines w:val="0"/>
        <w:kinsoku/>
        <w:overflowPunct/>
        <w:bidi w:val="0"/>
        <w:spacing w:beforeLines="0" w:afterLines="0" w:line="360" w:lineRule="auto"/>
        <w:ind w:firstLine="480"/>
        <w:rPr>
          <w:rFonts w:hint="default"/>
          <w:color w:val="auto"/>
          <w:sz w:val="24"/>
          <w:szCs w:val="24"/>
        </w:rPr>
      </w:pPr>
    </w:p>
    <w:p>
      <w:pPr>
        <w:keepLines w:val="0"/>
        <w:numPr>
          <w:ilvl w:val="0"/>
          <w:numId w:val="4"/>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工作内容</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本次离任经济责任审计主要内容包括：</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eastAsia="zh-CN"/>
        </w:rPr>
        <w:t>（1）贯彻执行</w:t>
      </w:r>
      <w:r>
        <w:rPr>
          <w:rFonts w:hint="eastAsia" w:cs="宋体"/>
          <w:snapToGrid w:val="0"/>
          <w:kern w:val="0"/>
          <w:szCs w:val="20"/>
          <w:highlight w:val="none"/>
          <w:lang w:val="en-US" w:eastAsia="zh-CN"/>
        </w:rPr>
        <w:t>党和国家经济方针政策、决策部署情况</w:t>
      </w:r>
      <w:r>
        <w:rPr>
          <w:rFonts w:hint="eastAsia" w:cs="宋体"/>
          <w:snapToGrid w:val="0"/>
          <w:kern w:val="0"/>
          <w:szCs w:val="20"/>
          <w:highlight w:val="none"/>
          <w:lang w:eastAsia="zh-CN"/>
        </w:rPr>
        <w:t>；</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eastAsia="zh-CN"/>
        </w:rPr>
        <w:t>（2）</w:t>
      </w:r>
      <w:r>
        <w:rPr>
          <w:rFonts w:hint="eastAsia" w:cs="宋体"/>
          <w:snapToGrid w:val="0"/>
          <w:kern w:val="0"/>
          <w:szCs w:val="20"/>
          <w:highlight w:val="none"/>
          <w:lang w:val="en-US" w:eastAsia="zh-CN"/>
        </w:rPr>
        <w:t>任职期间主要经济指标的真实性和完成情况</w:t>
      </w:r>
      <w:r>
        <w:rPr>
          <w:rFonts w:hint="eastAsia" w:cs="宋体"/>
          <w:snapToGrid w:val="0"/>
          <w:kern w:val="0"/>
          <w:szCs w:val="20"/>
          <w:highlight w:val="none"/>
          <w:lang w:eastAsia="zh-CN"/>
        </w:rPr>
        <w:t>；</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eastAsia="zh-CN"/>
        </w:rPr>
        <w:t>（3）重大经济事项的决策、执行和效果情况；</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val="en-US" w:eastAsia="zh-CN"/>
        </w:rPr>
      </w:pPr>
      <w:r>
        <w:rPr>
          <w:rFonts w:hint="eastAsia" w:cs="宋体"/>
          <w:snapToGrid w:val="0"/>
          <w:kern w:val="0"/>
          <w:szCs w:val="20"/>
          <w:highlight w:val="none"/>
          <w:lang w:eastAsia="zh-CN"/>
        </w:rPr>
        <w:t>（4）</w:t>
      </w:r>
      <w:r>
        <w:rPr>
          <w:rFonts w:hint="eastAsia" w:cs="宋体"/>
          <w:snapToGrid w:val="0"/>
          <w:kern w:val="0"/>
          <w:szCs w:val="20"/>
          <w:highlight w:val="none"/>
          <w:lang w:val="en-US" w:eastAsia="zh-CN"/>
        </w:rPr>
        <w:t>企业法人治理架构的建立、健全和运行情况，内部控制制度的制定和执行情况；</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val="en-US" w:eastAsia="zh-CN"/>
        </w:rPr>
        <w:t>（5）</w:t>
      </w:r>
      <w:r>
        <w:rPr>
          <w:rFonts w:hint="eastAsia" w:cs="宋体"/>
          <w:snapToGrid w:val="0"/>
          <w:kern w:val="0"/>
          <w:szCs w:val="20"/>
          <w:highlight w:val="none"/>
          <w:lang w:eastAsia="zh-CN"/>
        </w:rPr>
        <w:t>财务收支的真实、合法和效益情况，以及资产负债损益情况；</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val="en-US" w:eastAsia="zh-CN"/>
        </w:rPr>
      </w:pPr>
      <w:r>
        <w:rPr>
          <w:rFonts w:hint="eastAsia" w:cs="宋体"/>
          <w:snapToGrid w:val="0"/>
          <w:kern w:val="0"/>
          <w:szCs w:val="20"/>
          <w:highlight w:val="none"/>
          <w:lang w:val="en-US" w:eastAsia="zh-CN"/>
        </w:rPr>
        <w:t>（6）国有资本保值增值；</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val="en-US" w:eastAsia="zh-CN"/>
        </w:rPr>
        <w:t>（7</w:t>
      </w:r>
      <w:r>
        <w:rPr>
          <w:rFonts w:hint="eastAsia" w:cs="宋体"/>
          <w:snapToGrid w:val="0"/>
          <w:kern w:val="0"/>
          <w:szCs w:val="20"/>
          <w:highlight w:val="none"/>
          <w:lang w:eastAsia="zh-CN"/>
        </w:rPr>
        <w:t>）履行有关党风廉政建设责任人职责情况、本人遵守有关廉洁从业规定情况；</w:t>
      </w:r>
    </w:p>
    <w:p>
      <w:pPr>
        <w:keepLines w:val="0"/>
        <w:numPr>
          <w:ilvl w:val="-1"/>
          <w:numId w:val="0"/>
        </w:numPr>
        <w:kinsoku/>
        <w:wordWrap/>
        <w:overflowPunct/>
        <w:bidi w:val="0"/>
        <w:spacing w:beforeLines="-2147483648" w:afterLines="-2147483648" w:line="360" w:lineRule="auto"/>
        <w:ind w:firstLine="480"/>
        <w:jc w:val="left"/>
        <w:rPr>
          <w:rFonts w:hint="eastAsia" w:cs="宋体"/>
          <w:snapToGrid w:val="0"/>
          <w:kern w:val="0"/>
          <w:szCs w:val="20"/>
          <w:highlight w:val="none"/>
          <w:lang w:eastAsia="zh-CN"/>
        </w:rPr>
      </w:pPr>
      <w:r>
        <w:rPr>
          <w:rFonts w:hint="eastAsia" w:cs="宋体"/>
          <w:snapToGrid w:val="0"/>
          <w:kern w:val="0"/>
          <w:szCs w:val="20"/>
          <w:highlight w:val="none"/>
          <w:lang w:val="en-US" w:eastAsia="zh-CN"/>
        </w:rPr>
        <w:t>（8</w:t>
      </w:r>
      <w:r>
        <w:rPr>
          <w:rFonts w:hint="eastAsia" w:cs="宋体"/>
          <w:snapToGrid w:val="0"/>
          <w:kern w:val="0"/>
          <w:szCs w:val="20"/>
          <w:highlight w:val="none"/>
          <w:lang w:eastAsia="zh-CN"/>
        </w:rPr>
        <w:t>）以往审计发现问题的整改情况（</w:t>
      </w:r>
      <w:r>
        <w:rPr>
          <w:rFonts w:hint="eastAsia" w:cs="宋体"/>
          <w:snapToGrid w:val="0"/>
          <w:kern w:val="0"/>
          <w:szCs w:val="20"/>
          <w:highlight w:val="none"/>
          <w:lang w:val="en-US" w:eastAsia="zh-CN"/>
        </w:rPr>
        <w:t>如有</w:t>
      </w:r>
      <w:r>
        <w:rPr>
          <w:rFonts w:hint="eastAsia" w:cs="宋体"/>
          <w:snapToGrid w:val="0"/>
          <w:kern w:val="0"/>
          <w:szCs w:val="20"/>
          <w:highlight w:val="none"/>
          <w:lang w:eastAsia="zh-CN"/>
        </w:rPr>
        <w:t>）；</w:t>
      </w:r>
    </w:p>
    <w:p>
      <w:pPr>
        <w:keepLines w:val="0"/>
        <w:numPr>
          <w:ilvl w:val="-1"/>
          <w:numId w:val="0"/>
        </w:numPr>
        <w:kinsoku/>
        <w:wordWrap/>
        <w:overflowPunct/>
        <w:bidi w:val="0"/>
        <w:spacing w:beforeLines="-2147483648" w:afterLines="-2147483648" w:line="360" w:lineRule="auto"/>
        <w:ind w:firstLine="480"/>
        <w:jc w:val="left"/>
        <w:rPr>
          <w:rFonts w:hint="default"/>
          <w:color w:val="auto"/>
          <w:sz w:val="24"/>
          <w:szCs w:val="24"/>
          <w:highlight w:val="none"/>
        </w:rPr>
      </w:pPr>
      <w:r>
        <w:rPr>
          <w:rFonts w:hint="eastAsia" w:cs="宋体"/>
          <w:snapToGrid w:val="0"/>
          <w:kern w:val="0"/>
          <w:szCs w:val="20"/>
          <w:highlight w:val="none"/>
          <w:lang w:val="en-US" w:eastAsia="zh-CN"/>
        </w:rPr>
        <w:t>（9</w:t>
      </w:r>
      <w:r>
        <w:rPr>
          <w:rFonts w:hint="eastAsia" w:cs="宋体"/>
          <w:snapToGrid w:val="0"/>
          <w:kern w:val="0"/>
          <w:szCs w:val="20"/>
          <w:highlight w:val="none"/>
          <w:lang w:eastAsia="zh-CN"/>
        </w:rPr>
        <w:t>）其他需要审计的内容</w:t>
      </w:r>
      <w:r>
        <w:rPr>
          <w:rFonts w:hint="eastAsia" w:cs="宋体"/>
          <w:snapToGrid w:val="0"/>
          <w:kern w:val="0"/>
          <w:szCs w:val="20"/>
          <w:highlight w:val="none"/>
        </w:rPr>
        <w:t>。</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（三）工作成果</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按照采购人要求，出具上述企业</w:t>
      </w:r>
      <w:r>
        <w:rPr>
          <w:rFonts w:hint="eastAsia"/>
          <w:color w:val="auto"/>
          <w:sz w:val="24"/>
          <w:szCs w:val="24"/>
          <w:highlight w:val="none"/>
          <w:lang w:val="en-US" w:eastAsia="zh-CN"/>
        </w:rPr>
        <w:t>原</w:t>
      </w:r>
      <w:r>
        <w:rPr>
          <w:rFonts w:hint="default"/>
          <w:color w:val="auto"/>
          <w:sz w:val="24"/>
          <w:szCs w:val="24"/>
          <w:highlight w:val="none"/>
        </w:rPr>
        <w:t>主要负责人</w:t>
      </w:r>
      <w:r>
        <w:rPr>
          <w:rFonts w:hint="eastAsia"/>
          <w:color w:val="auto"/>
          <w:sz w:val="24"/>
          <w:szCs w:val="24"/>
          <w:highlight w:val="none"/>
          <w:lang w:val="en-US" w:eastAsia="zh-CN"/>
        </w:rPr>
        <w:t>离任</w:t>
      </w:r>
      <w:r>
        <w:rPr>
          <w:rFonts w:hint="default"/>
          <w:color w:val="auto"/>
          <w:sz w:val="24"/>
          <w:szCs w:val="24"/>
          <w:highlight w:val="none"/>
        </w:rPr>
        <w:t>经济责任审计报告，分别以书面形式（按采购人要求数量印制）和电子文件形式提交。</w:t>
      </w:r>
    </w:p>
    <w:p>
      <w:pPr>
        <w:keepLines w:val="0"/>
        <w:numPr>
          <w:ilvl w:val="0"/>
          <w:numId w:val="0"/>
        </w:numPr>
        <w:kinsoku/>
        <w:overflowPunct/>
        <w:bidi w:val="0"/>
        <w:spacing w:line="360" w:lineRule="auto"/>
        <w:ind w:firstLine="480"/>
        <w:rPr>
          <w:rFonts w:hint="default"/>
          <w:color w:val="auto"/>
          <w:sz w:val="24"/>
          <w:szCs w:val="24"/>
          <w:highlight w:val="none"/>
        </w:rPr>
      </w:pPr>
      <w:r>
        <w:rPr>
          <w:rFonts w:hint="default"/>
          <w:color w:val="auto"/>
          <w:sz w:val="24"/>
          <w:szCs w:val="24"/>
          <w:highlight w:val="none"/>
        </w:rPr>
        <w:t>（四）验收标准：最终成果验收合格的标志为采购人审查通过。</w:t>
      </w:r>
    </w:p>
    <w:p>
      <w:pPr>
        <w:pStyle w:val="3"/>
        <w:keepLines w:val="0"/>
        <w:kinsoku/>
        <w:overflowPunct/>
        <w:bidi w:val="0"/>
        <w:spacing w:line="360" w:lineRule="auto"/>
        <w:rPr>
          <w:rFonts w:hint="default"/>
          <w:color w:val="auto"/>
          <w:sz w:val="24"/>
          <w:szCs w:val="32"/>
        </w:rPr>
      </w:pPr>
      <w:r>
        <w:rPr>
          <w:rFonts w:hint="default"/>
          <w:color w:val="auto"/>
          <w:sz w:val="24"/>
          <w:szCs w:val="32"/>
        </w:rPr>
        <w:t>、服务期限</w:t>
      </w:r>
    </w:p>
    <w:p>
      <w:pPr>
        <w:keepLines w:val="0"/>
        <w:numPr>
          <w:ilvl w:val="0"/>
          <w:numId w:val="5"/>
        </w:numPr>
        <w:kinsoku/>
        <w:overflowPunct/>
        <w:bidi w:val="0"/>
        <w:spacing w:beforeLines="0" w:afterLines="0" w:line="360" w:lineRule="auto"/>
        <w:ind w:firstLine="480" w:firstLineChars="0"/>
        <w:rPr>
          <w:rFonts w:hint="default"/>
          <w:color w:val="auto"/>
          <w:sz w:val="24"/>
          <w:szCs w:val="24"/>
        </w:rPr>
      </w:pPr>
      <w:r>
        <w:rPr>
          <w:rFonts w:hint="default"/>
          <w:color w:val="auto"/>
          <w:sz w:val="24"/>
          <w:szCs w:val="24"/>
        </w:rPr>
        <w:t>自合同签订之日起3个月内完成全部审计工作，并出具审计报告。服务应满足招标人的实际工作要求。其中：</w:t>
      </w:r>
    </w:p>
    <w:p>
      <w:pPr>
        <w:keepLines w:val="0"/>
        <w:numPr>
          <w:ilvl w:val="0"/>
          <w:numId w:val="0"/>
        </w:numPr>
        <w:kinsoku/>
        <w:overflowPunct/>
        <w:bidi w:val="0"/>
        <w:spacing w:beforeLines="0" w:afterLines="0" w:line="360" w:lineRule="auto"/>
        <w:ind w:firstLine="480"/>
        <w:rPr>
          <w:rFonts w:hint="default"/>
          <w:color w:val="auto"/>
          <w:sz w:val="24"/>
          <w:szCs w:val="24"/>
        </w:rPr>
      </w:pPr>
      <w:r>
        <w:rPr>
          <w:rFonts w:hint="default"/>
          <w:color w:val="auto"/>
          <w:sz w:val="24"/>
          <w:szCs w:val="24"/>
        </w:rPr>
        <w:t>（1）2026年8月</w:t>
      </w:r>
      <w:r>
        <w:rPr>
          <w:rFonts w:hint="eastAsia"/>
          <w:color w:val="auto"/>
          <w:sz w:val="24"/>
          <w:szCs w:val="24"/>
          <w:lang w:val="en-US" w:eastAsia="zh-CN"/>
        </w:rPr>
        <w:t>30</w:t>
      </w:r>
      <w:r>
        <w:rPr>
          <w:rFonts w:hint="default"/>
          <w:color w:val="auto"/>
          <w:sz w:val="24"/>
          <w:szCs w:val="24"/>
        </w:rPr>
        <w:t>日前应完成现场审计工作；</w:t>
      </w:r>
    </w:p>
    <w:p>
      <w:pPr>
        <w:keepLines w:val="0"/>
        <w:numPr>
          <w:ilvl w:val="0"/>
          <w:numId w:val="0"/>
        </w:numPr>
        <w:kinsoku/>
        <w:overflowPunct/>
        <w:bidi w:val="0"/>
        <w:spacing w:beforeLines="0" w:afterLines="0" w:line="360" w:lineRule="auto"/>
        <w:ind w:firstLine="480"/>
        <w:rPr>
          <w:rFonts w:hint="default"/>
          <w:color w:val="auto"/>
          <w:sz w:val="24"/>
          <w:szCs w:val="24"/>
        </w:rPr>
      </w:pPr>
      <w:r>
        <w:rPr>
          <w:rFonts w:hint="default"/>
          <w:color w:val="auto"/>
          <w:sz w:val="24"/>
          <w:szCs w:val="24"/>
        </w:rPr>
        <w:t>（2）2026年9月</w:t>
      </w:r>
      <w:r>
        <w:rPr>
          <w:rFonts w:hint="eastAsia"/>
          <w:color w:val="auto"/>
          <w:sz w:val="24"/>
          <w:szCs w:val="24"/>
          <w:lang w:val="en-US" w:eastAsia="zh-CN"/>
        </w:rPr>
        <w:t>15</w:t>
      </w:r>
      <w:r>
        <w:rPr>
          <w:rFonts w:hint="default"/>
          <w:color w:val="auto"/>
          <w:sz w:val="24"/>
          <w:szCs w:val="24"/>
        </w:rPr>
        <w:t>日前，中标人应向采购人提交经济责任审计报告初稿；</w:t>
      </w:r>
    </w:p>
    <w:p>
      <w:pPr>
        <w:keepLines w:val="0"/>
        <w:numPr>
          <w:ilvl w:val="0"/>
          <w:numId w:val="0"/>
        </w:numPr>
        <w:kinsoku/>
        <w:overflowPunct/>
        <w:bidi w:val="0"/>
        <w:spacing w:beforeLines="0" w:afterLines="0" w:line="360" w:lineRule="auto"/>
        <w:ind w:firstLine="480"/>
        <w:rPr>
          <w:rFonts w:hint="default"/>
          <w:color w:val="auto"/>
          <w:sz w:val="24"/>
          <w:szCs w:val="24"/>
        </w:rPr>
      </w:pPr>
      <w:r>
        <w:rPr>
          <w:rFonts w:hint="default"/>
          <w:color w:val="auto"/>
          <w:sz w:val="24"/>
          <w:szCs w:val="24"/>
        </w:rPr>
        <w:t>（3）2026年9月30日前，中标人根据采购人意见完成修改，并提交经济责任审计报告终稿。</w:t>
      </w:r>
    </w:p>
    <w:p>
      <w:pPr>
        <w:keepLines w:val="0"/>
        <w:numPr>
          <w:ilvl w:val="0"/>
          <w:numId w:val="5"/>
        </w:numPr>
        <w:kinsoku/>
        <w:overflowPunct/>
        <w:bidi w:val="0"/>
        <w:spacing w:beforeLines="0" w:afterLines="0" w:line="360" w:lineRule="auto"/>
        <w:ind w:firstLine="480"/>
        <w:rPr>
          <w:rFonts w:hint="default"/>
          <w:color w:val="auto"/>
          <w:sz w:val="24"/>
          <w:szCs w:val="24"/>
        </w:rPr>
      </w:pPr>
      <w:r>
        <w:rPr>
          <w:rFonts w:hint="default"/>
          <w:color w:val="auto"/>
          <w:sz w:val="24"/>
          <w:szCs w:val="24"/>
        </w:rPr>
        <w:t>中标人提交的本项目最终成果通过采购人审查验收之日起1年为本合同后续服务期。服务期内乙方应向甲方提供后续的专业技术支持与咨询服务</w:t>
      </w:r>
      <w:r>
        <w:rPr>
          <w:rFonts w:hint="default"/>
          <w:color w:val="auto"/>
          <w:sz w:val="24"/>
          <w:szCs w:val="24"/>
          <w:lang w:val="en-US" w:eastAsia="zh-CN"/>
        </w:rPr>
        <w:t>（具体包括：审计结果相关问题的解释说明、配合甲方完成后续整改跟进咨询、针对审计报告内容延伸的相关专业问题答疑等，保障本审计项目后续相关工作的顺利推进）</w:t>
      </w:r>
      <w:r>
        <w:rPr>
          <w:rFonts w:hint="default"/>
          <w:color w:val="auto"/>
          <w:sz w:val="24"/>
          <w:szCs w:val="24"/>
          <w:lang w:eastAsia="zh-CN"/>
        </w:rPr>
        <w:t>，且不得就该等后续工作另行收取任何费用</w:t>
      </w:r>
      <w:r>
        <w:rPr>
          <w:rFonts w:hint="default"/>
          <w:color w:val="auto"/>
          <w:sz w:val="24"/>
          <w:szCs w:val="24"/>
        </w:rPr>
        <w:t>。</w:t>
      </w:r>
    </w:p>
    <w:p>
      <w:pPr>
        <w:pStyle w:val="3"/>
        <w:keepLines w:val="0"/>
        <w:kinsoku/>
        <w:overflowPunct/>
        <w:bidi w:val="0"/>
        <w:spacing w:line="360" w:lineRule="auto"/>
        <w:rPr>
          <w:rFonts w:hint="default"/>
          <w:color w:val="auto"/>
          <w:sz w:val="24"/>
          <w:szCs w:val="32"/>
        </w:rPr>
      </w:pPr>
      <w:r>
        <w:rPr>
          <w:rFonts w:hint="default"/>
          <w:color w:val="auto"/>
          <w:sz w:val="24"/>
          <w:szCs w:val="32"/>
        </w:rPr>
        <w:t>、付款方式</w:t>
      </w:r>
    </w:p>
    <w:p>
      <w:pPr>
        <w:keepLines w:val="0"/>
        <w:numPr>
          <w:ilvl w:val="0"/>
          <w:numId w:val="6"/>
        </w:numPr>
        <w:kinsoku/>
        <w:overflowPunct/>
        <w:bidi w:val="0"/>
        <w:spacing w:line="360" w:lineRule="auto"/>
        <w:ind w:firstLine="480"/>
        <w:rPr>
          <w:rFonts w:hint="default"/>
          <w:color w:val="auto"/>
          <w:sz w:val="24"/>
          <w:szCs w:val="24"/>
        </w:rPr>
      </w:pPr>
      <w:r>
        <w:rPr>
          <w:rFonts w:hint="default"/>
          <w:color w:val="auto"/>
          <w:sz w:val="24"/>
          <w:szCs w:val="24"/>
        </w:rPr>
        <w:t>结算方式：审计费用与实际服务的企业进行结算，由最终服务对象承担。最终</w:t>
      </w:r>
      <w:r>
        <w:rPr>
          <w:rFonts w:hint="default"/>
          <w:color w:val="auto"/>
          <w:sz w:val="24"/>
          <w:szCs w:val="24"/>
          <w:lang w:val="en-US" w:eastAsia="zh-CN"/>
        </w:rPr>
        <w:t>可取得的</w:t>
      </w:r>
      <w:r>
        <w:rPr>
          <w:rFonts w:hint="default"/>
          <w:color w:val="auto"/>
          <w:sz w:val="24"/>
          <w:szCs w:val="24"/>
        </w:rPr>
        <w:t>服务费用以实际最终</w:t>
      </w:r>
      <w:r>
        <w:rPr>
          <w:rFonts w:hint="default"/>
          <w:color w:val="auto"/>
          <w:sz w:val="24"/>
          <w:szCs w:val="24"/>
          <w:lang w:val="en-US" w:eastAsia="zh-CN"/>
        </w:rPr>
        <w:t>接受审计</w:t>
      </w:r>
      <w:r>
        <w:rPr>
          <w:rFonts w:hint="default"/>
          <w:color w:val="auto"/>
          <w:sz w:val="24"/>
          <w:szCs w:val="24"/>
        </w:rPr>
        <w:t>服务</w:t>
      </w:r>
      <w:r>
        <w:rPr>
          <w:rFonts w:hint="default"/>
          <w:color w:val="auto"/>
          <w:sz w:val="24"/>
          <w:szCs w:val="24"/>
          <w:lang w:val="en-US" w:eastAsia="zh-CN"/>
        </w:rPr>
        <w:t>的企业</w:t>
      </w:r>
      <w:r>
        <w:rPr>
          <w:rFonts w:hint="default"/>
          <w:color w:val="auto"/>
          <w:sz w:val="24"/>
          <w:szCs w:val="24"/>
        </w:rPr>
        <w:t>数</w:t>
      </w:r>
      <w:r>
        <w:rPr>
          <w:rFonts w:hint="default"/>
          <w:color w:val="auto"/>
          <w:sz w:val="24"/>
          <w:szCs w:val="24"/>
          <w:lang w:val="en-US" w:eastAsia="zh-CN"/>
        </w:rPr>
        <w:t>量和被审计的具体人数据实</w:t>
      </w:r>
      <w:r>
        <w:rPr>
          <w:rFonts w:hint="default"/>
          <w:color w:val="auto"/>
          <w:sz w:val="24"/>
          <w:szCs w:val="24"/>
        </w:rPr>
        <w:t>计算。最终服务对象与中标人双方签署</w:t>
      </w:r>
      <w:r>
        <w:rPr>
          <w:rFonts w:hint="default"/>
          <w:color w:val="auto"/>
          <w:sz w:val="24"/>
          <w:szCs w:val="24"/>
          <w:highlight w:val="none"/>
        </w:rPr>
        <w:t>《2026年主要领导</w:t>
      </w:r>
      <w:r>
        <w:rPr>
          <w:rFonts w:hint="eastAsia"/>
          <w:color w:val="auto"/>
          <w:sz w:val="24"/>
          <w:szCs w:val="24"/>
          <w:highlight w:val="none"/>
          <w:lang w:eastAsia="zh-CN"/>
        </w:rPr>
        <w:t>离任</w:t>
      </w:r>
      <w:r>
        <w:rPr>
          <w:rFonts w:hint="default"/>
          <w:color w:val="auto"/>
          <w:sz w:val="24"/>
          <w:szCs w:val="24"/>
          <w:highlight w:val="none"/>
        </w:rPr>
        <w:t>经济责任审计业务约定书》之</w:t>
      </w:r>
      <w:r>
        <w:rPr>
          <w:rFonts w:hint="default"/>
          <w:color w:val="auto"/>
          <w:sz w:val="24"/>
          <w:szCs w:val="24"/>
        </w:rPr>
        <w:t>日起</w:t>
      </w:r>
      <w:r>
        <w:rPr>
          <w:rFonts w:hint="eastAsia"/>
          <w:color w:val="auto"/>
          <w:sz w:val="24"/>
          <w:szCs w:val="24"/>
          <w:lang w:val="en-US" w:eastAsia="zh-CN"/>
        </w:rPr>
        <w:t>满</w:t>
      </w:r>
      <w:r>
        <w:rPr>
          <w:rFonts w:hint="default"/>
          <w:color w:val="auto"/>
          <w:sz w:val="24"/>
          <w:szCs w:val="24"/>
        </w:rPr>
        <w:t>10个工作日，</w:t>
      </w:r>
      <w:r>
        <w:rPr>
          <w:rFonts w:hint="default"/>
          <w:color w:val="auto"/>
          <w:sz w:val="24"/>
          <w:szCs w:val="24"/>
          <w:lang w:val="en-US" w:eastAsia="zh-CN"/>
        </w:rPr>
        <w:t>且</w:t>
      </w:r>
      <w:r>
        <w:rPr>
          <w:rFonts w:hint="eastAsia"/>
          <w:color w:val="auto"/>
          <w:sz w:val="24"/>
          <w:szCs w:val="24"/>
          <w:lang w:val="en-US" w:eastAsia="zh-CN"/>
        </w:rPr>
        <w:t>收到合法合规</w:t>
      </w:r>
      <w:r>
        <w:rPr>
          <w:rFonts w:hint="default"/>
          <w:color w:val="auto"/>
          <w:sz w:val="24"/>
          <w:szCs w:val="24"/>
          <w:lang w:val="en-US" w:eastAsia="zh-CN"/>
        </w:rPr>
        <w:t>的增值税专用发票</w:t>
      </w:r>
      <w:r>
        <w:rPr>
          <w:rFonts w:hint="eastAsia"/>
          <w:color w:val="auto"/>
          <w:sz w:val="24"/>
          <w:szCs w:val="24"/>
          <w:lang w:val="en-US" w:eastAsia="zh-CN"/>
        </w:rPr>
        <w:t>后</w:t>
      </w:r>
      <w:r>
        <w:rPr>
          <w:rFonts w:hint="default"/>
          <w:color w:val="auto"/>
          <w:sz w:val="24"/>
          <w:szCs w:val="24"/>
        </w:rPr>
        <w:t>，最终服务对象向中标人支付《2026年主要领导</w:t>
      </w:r>
      <w:r>
        <w:rPr>
          <w:rFonts w:hint="eastAsia"/>
          <w:color w:val="auto"/>
          <w:sz w:val="24"/>
          <w:szCs w:val="24"/>
          <w:lang w:eastAsia="zh-CN"/>
        </w:rPr>
        <w:t>离任</w:t>
      </w:r>
      <w:r>
        <w:rPr>
          <w:rFonts w:hint="default"/>
          <w:color w:val="auto"/>
          <w:sz w:val="24"/>
          <w:szCs w:val="24"/>
        </w:rPr>
        <w:t>经济责任审计业务约定书》总额的50%审计服务费用。中标人向招标人及最终服务对象提交审计报告终稿且收到合法合规的增值税专用发票后10个工作日内，最终服务对象把本合同总额的50%审计服务费用支付给中标人。</w:t>
      </w:r>
    </w:p>
    <w:p>
      <w:pPr>
        <w:keepLines w:val="0"/>
        <w:numPr>
          <w:ilvl w:val="0"/>
          <w:numId w:val="6"/>
        </w:numPr>
        <w:kinsoku/>
        <w:overflowPunct/>
        <w:bidi w:val="0"/>
        <w:spacing w:line="360" w:lineRule="auto"/>
        <w:ind w:firstLine="480"/>
        <w:rPr>
          <w:rFonts w:hint="default"/>
          <w:color w:val="auto"/>
          <w:sz w:val="24"/>
          <w:szCs w:val="24"/>
        </w:rPr>
      </w:pPr>
      <w:r>
        <w:rPr>
          <w:rFonts w:hint="default"/>
          <w:color w:val="auto"/>
          <w:sz w:val="24"/>
          <w:szCs w:val="24"/>
        </w:rPr>
        <w:t>付款方式：详见《2026年主要领导</w:t>
      </w:r>
      <w:r>
        <w:rPr>
          <w:rFonts w:hint="eastAsia"/>
          <w:color w:val="auto"/>
          <w:sz w:val="24"/>
          <w:szCs w:val="24"/>
          <w:lang w:eastAsia="zh-CN"/>
        </w:rPr>
        <w:t>离任</w:t>
      </w:r>
      <w:r>
        <w:rPr>
          <w:rFonts w:hint="default"/>
          <w:color w:val="auto"/>
          <w:sz w:val="24"/>
          <w:szCs w:val="24"/>
        </w:rPr>
        <w:t>经济责任审计业务约定书》。</w:t>
      </w:r>
    </w:p>
    <w:p>
      <w:pPr>
        <w:pStyle w:val="3"/>
        <w:keepLines w:val="0"/>
        <w:kinsoku/>
        <w:overflowPunct/>
        <w:bidi w:val="0"/>
        <w:spacing w:line="360" w:lineRule="auto"/>
        <w:rPr>
          <w:rFonts w:hint="default"/>
          <w:color w:val="auto"/>
          <w:sz w:val="24"/>
          <w:szCs w:val="32"/>
        </w:rPr>
      </w:pPr>
      <w:r>
        <w:rPr>
          <w:rFonts w:hint="default"/>
          <w:color w:val="auto"/>
          <w:sz w:val="24"/>
          <w:szCs w:val="32"/>
        </w:rPr>
        <w:t>、其他要求</w:t>
      </w:r>
    </w:p>
    <w:p>
      <w:pPr>
        <w:keepLines w:val="0"/>
        <w:kinsoku/>
        <w:overflowPunct/>
        <w:bidi w:val="0"/>
        <w:spacing w:line="360" w:lineRule="auto"/>
        <w:ind w:firstLine="480"/>
        <w:rPr>
          <w:rFonts w:hint="default" w:cs="宋体"/>
          <w:color w:val="auto"/>
          <w:sz w:val="24"/>
          <w:szCs w:val="24"/>
        </w:rPr>
      </w:pPr>
      <w:r>
        <w:rPr>
          <w:rFonts w:hint="default" w:cs="宋体"/>
          <w:color w:val="auto"/>
          <w:sz w:val="24"/>
          <w:szCs w:val="24"/>
        </w:rPr>
        <w:t>详见《2026年主要领导</w:t>
      </w:r>
      <w:r>
        <w:rPr>
          <w:rFonts w:hint="eastAsia" w:cs="宋体"/>
          <w:color w:val="auto"/>
          <w:sz w:val="24"/>
          <w:szCs w:val="24"/>
          <w:lang w:eastAsia="zh-CN"/>
        </w:rPr>
        <w:t>离任</w:t>
      </w:r>
      <w:r>
        <w:rPr>
          <w:rFonts w:hint="default" w:cs="宋体"/>
          <w:color w:val="auto"/>
          <w:sz w:val="24"/>
          <w:szCs w:val="24"/>
        </w:rPr>
        <w:t>经济责任审计业务约定书》。</w:t>
      </w:r>
    </w:p>
    <w:p>
      <w:pPr>
        <w:keepLines w:val="0"/>
        <w:kinsoku/>
        <w:overflowPunct/>
        <w:bidi w:val="0"/>
        <w:spacing w:beforeLines="0" w:afterLines="0" w:line="360" w:lineRule="auto"/>
        <w:ind w:firstLine="480"/>
        <w:rPr>
          <w:rFonts w:hint="default" w:cs="宋体"/>
          <w:color w:val="auto"/>
          <w:sz w:val="24"/>
          <w:szCs w:val="24"/>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91DFC"/>
    <w:multiLevelType w:val="multilevel"/>
    <w:tmpl w:val="98B91DFC"/>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3FEFF82"/>
    <w:multiLevelType w:val="multilevel"/>
    <w:tmpl w:val="B3FEFF82"/>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4EC817B5"/>
    <w:multiLevelType w:val="multilevel"/>
    <w:tmpl w:val="4EC817B5"/>
    <w:lvl w:ilvl="0" w:tentative="0">
      <w:start w:val="1"/>
      <w:numFmt w:val="chineseCountingThousand"/>
      <w:suff w:val="space"/>
      <w:lvlText w:val="第%1章"/>
      <w:lvlJc w:val="left"/>
      <w:pPr>
        <w:ind w:left="0" w:firstLine="0"/>
      </w:pPr>
      <w:rPr>
        <w:rFonts w:hint="default"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3"/>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482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rPr>
        <w:rFonts w:hint="eastAsia" w:ascii="宋体" w:hAnsi="宋体" w:eastAsia="宋体"/>
      </w:rPr>
    </w:lvl>
    <w:lvl w:ilvl="6" w:tentative="0">
      <w:start w:val="1"/>
      <w:numFmt w:val="none"/>
      <w:suff w:val="nothing"/>
      <w:lvlText w:val=""/>
      <w:lvlJc w:val="left"/>
      <w:pPr>
        <w:ind w:left="0" w:firstLine="0"/>
      </w:pPr>
      <w:rPr>
        <w:rFonts w:hint="eastAsia" w:ascii="宋体" w:hAnsi="宋体" w:eastAsia="宋体"/>
      </w:rPr>
    </w:lvl>
    <w:lvl w:ilvl="7" w:tentative="0">
      <w:start w:val="1"/>
      <w:numFmt w:val="none"/>
      <w:suff w:val="nothing"/>
      <w:lvlText w:val=""/>
      <w:lvlJc w:val="left"/>
      <w:pPr>
        <w:ind w:left="0" w:firstLine="0"/>
      </w:pPr>
      <w:rPr>
        <w:rFonts w:hint="eastAsia" w:ascii="宋体" w:hAnsi="宋体" w:eastAsia="宋体"/>
      </w:rPr>
    </w:lvl>
    <w:lvl w:ilvl="8" w:tentative="0">
      <w:start w:val="1"/>
      <w:numFmt w:val="none"/>
      <w:suff w:val="nothing"/>
      <w:lvlText w:val=""/>
      <w:lvlJc w:val="left"/>
      <w:pPr>
        <w:ind w:left="0" w:firstLine="0"/>
      </w:pPr>
      <w:rPr>
        <w:rFonts w:hint="eastAsia" w:ascii="宋体" w:hAnsi="宋体" w:eastAsia="宋体"/>
      </w:rPr>
    </w:lvl>
  </w:abstractNum>
  <w:abstractNum w:abstractNumId="3">
    <w:nsid w:val="616D6852"/>
    <w:multiLevelType w:val="multilevel"/>
    <w:tmpl w:val="616D685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66BA1643"/>
    <w:multiLevelType w:val="multilevel"/>
    <w:tmpl w:val="66BA1643"/>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zMzZjI3MWEwYzYwMjU3NzJjMGI5NGVkYjAwMWIifQ=="/>
  </w:docVars>
  <w:rsids>
    <w:rsidRoot w:val="00000000"/>
    <w:rsid w:val="4167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12" w:lineRule="auto"/>
      <w:ind w:firstLine="482" w:firstLineChars="200"/>
      <w:jc w:val="both"/>
    </w:pPr>
    <w:rPr>
      <w:rFonts w:ascii="宋体" w:hAnsi="宋体" w:eastAsia="宋体" w:cs="Times New Roman"/>
      <w:kern w:val="2"/>
      <w:sz w:val="24"/>
      <w:szCs w:val="24"/>
      <w:lang w:val="en-US" w:eastAsia="zh-CN" w:bidi="ar-SA"/>
    </w:rPr>
  </w:style>
  <w:style w:type="paragraph" w:styleId="2">
    <w:name w:val="heading 1"/>
    <w:next w:val="1"/>
    <w:qFormat/>
    <w:uiPriority w:val="0"/>
    <w:pPr>
      <w:pageBreakBefore/>
      <w:widowControl w:val="0"/>
      <w:numPr>
        <w:ilvl w:val="0"/>
        <w:numId w:val="1"/>
      </w:numPr>
      <w:wordWrap w:val="0"/>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paragraph" w:styleId="3">
    <w:name w:val="heading 2"/>
    <w:basedOn w:val="1"/>
    <w:next w:val="1"/>
    <w:qFormat/>
    <w:uiPriority w:val="0"/>
    <w:pPr>
      <w:keepNext/>
      <w:widowControl/>
      <w:numPr>
        <w:ilvl w:val="1"/>
        <w:numId w:val="2"/>
      </w:numPr>
      <w:wordWrap/>
      <w:autoSpaceDE w:val="0"/>
      <w:spacing w:before="120" w:beforeLines="50"/>
      <w:ind w:firstLineChars="0"/>
      <w:jc w:val="left"/>
      <w:outlineLvl w:val="1"/>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2026-06-24T07:27:07Z</dcterms:created>
  <dc:creator>Acer</dc:creator>
  <cp:lastModifiedBy>wry</cp:lastModifiedBy>
  <dcterms:modified xsi:type="dcterms:W3CDTF">2026-06-24T07:28:25Z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2F6BAE12C84A4CEF92AD2AA9547FD824_12</vt:lpwstr>
  </property>
</Properties>
</file>